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0B6000A9"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B0622A">
        <w:rPr>
          <w:rFonts w:ascii="Arial" w:hAnsi="Arial" w:cs="Arial"/>
          <w:b/>
          <w:sz w:val="20"/>
          <w:szCs w:val="20"/>
        </w:rPr>
        <w:t>10</w:t>
      </w:r>
      <w:r w:rsidR="00B0622A" w:rsidRPr="007541BD">
        <w:rPr>
          <w:rFonts w:ascii="Arial" w:hAnsi="Arial" w:cs="Arial"/>
          <w:b/>
          <w:sz w:val="20"/>
          <w:szCs w:val="20"/>
        </w:rPr>
        <w:t xml:space="preserve">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090D9F4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B0622A">
        <w:rPr>
          <w:rFonts w:ascii="Arial" w:hAnsi="Arial" w:cs="Arial"/>
          <w:b/>
          <w:sz w:val="20"/>
          <w:szCs w:val="20"/>
        </w:rPr>
        <w:t>16 kwietnia 2020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5E170EA5"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583372">
        <w:rPr>
          <w:rFonts w:ascii="Arial" w:hAnsi="Arial" w:cs="Arial"/>
          <w:b/>
          <w:color w:val="auto"/>
          <w:sz w:val="24"/>
          <w:szCs w:val="24"/>
        </w:rPr>
        <w:t>I</w:t>
      </w:r>
      <w:r w:rsidR="0085335E">
        <w:rPr>
          <w:rFonts w:ascii="Arial" w:hAnsi="Arial" w:cs="Arial"/>
          <w:b/>
          <w:color w:val="auto"/>
          <w:sz w:val="24"/>
          <w:szCs w:val="24"/>
        </w:rPr>
        <w:t>V</w:t>
      </w:r>
      <w:r w:rsidRPr="002B50C0">
        <w:rPr>
          <w:rFonts w:ascii="Arial" w:hAnsi="Arial" w:cs="Arial"/>
          <w:b/>
          <w:color w:val="auto"/>
          <w:sz w:val="24"/>
          <w:szCs w:val="24"/>
        </w:rPr>
        <w:t xml:space="preserve"> kwartał </w:t>
      </w:r>
      <w:r w:rsidR="003D736C">
        <w:rPr>
          <w:rFonts w:ascii="Arial" w:hAnsi="Arial" w:cs="Arial"/>
          <w:b/>
          <w:color w:val="auto"/>
          <w:sz w:val="24"/>
          <w:szCs w:val="24"/>
        </w:rPr>
        <w:t>20</w:t>
      </w:r>
      <w:r w:rsidR="00B0622A">
        <w:rPr>
          <w:rFonts w:ascii="Arial" w:hAnsi="Arial" w:cs="Arial"/>
          <w:b/>
          <w:color w:val="auto"/>
          <w:sz w:val="24"/>
          <w:szCs w:val="24"/>
        </w:rPr>
        <w:t>20</w:t>
      </w:r>
      <w:r w:rsidR="003D736C">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37DBE9CD" w:rsidR="003D736C" w:rsidRPr="00A23E05" w:rsidRDefault="003D736C" w:rsidP="00583372">
            <w:pPr>
              <w:spacing w:line="276" w:lineRule="auto"/>
              <w:rPr>
                <w:rFonts w:ascii="Arial" w:hAnsi="Arial" w:cs="Arial"/>
                <w:color w:val="0070C0"/>
                <w:sz w:val="18"/>
                <w:szCs w:val="18"/>
              </w:rPr>
            </w:pPr>
            <w:r w:rsidRPr="00A23E05">
              <w:rPr>
                <w:rFonts w:ascii="Arial" w:hAnsi="Arial" w:cs="Arial"/>
                <w:sz w:val="18"/>
                <w:szCs w:val="18"/>
              </w:rPr>
              <w:t>Minister Finansów</w:t>
            </w:r>
            <w:r w:rsidR="00894756">
              <w:rPr>
                <w:rFonts w:ascii="Arial" w:hAnsi="Arial" w:cs="Arial"/>
                <w:sz w:val="18"/>
                <w:szCs w:val="18"/>
              </w:rPr>
              <w:t>, Funduszy i Polityki Regionalnej</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7ADCF34A" w:rsidR="003D736C" w:rsidRPr="00A23E05" w:rsidRDefault="003D736C" w:rsidP="00894756">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Działanie nr 2.2 „Cyfryzacja procesów back-office w administracji rządowej”</w:t>
            </w:r>
          </w:p>
          <w:p w14:paraId="55582688" w14:textId="531DA059" w:rsidR="00E40CC5" w:rsidRPr="00A23E05" w:rsidRDefault="00E40CC5" w:rsidP="003D736C">
            <w:pPr>
              <w:spacing w:line="276" w:lineRule="auto"/>
              <w:rPr>
                <w:rFonts w:ascii="Arial" w:hAnsi="Arial" w:cs="Arial"/>
                <w:color w:val="0070C0"/>
                <w:sz w:val="18"/>
                <w:szCs w:val="18"/>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417372A5" w:rsidR="005212C8" w:rsidRPr="00490C24" w:rsidRDefault="00B8735C" w:rsidP="00B11368">
            <w:pPr>
              <w:spacing w:line="276" w:lineRule="auto"/>
              <w:rPr>
                <w:rFonts w:ascii="Arial" w:hAnsi="Arial" w:cs="Arial"/>
                <w:color w:val="0070C0"/>
                <w:sz w:val="18"/>
                <w:szCs w:val="18"/>
              </w:rPr>
            </w:pPr>
            <w:r w:rsidRPr="00490C24">
              <w:rPr>
                <w:rFonts w:ascii="Arial" w:hAnsi="Arial" w:cs="Arial"/>
                <w:sz w:val="18"/>
                <w:szCs w:val="18"/>
              </w:rPr>
              <w:t>11 3</w:t>
            </w:r>
            <w:r w:rsidR="00B11368">
              <w:rPr>
                <w:rFonts w:ascii="Arial" w:hAnsi="Arial" w:cs="Arial"/>
                <w:sz w:val="18"/>
                <w:szCs w:val="18"/>
              </w:rPr>
              <w:t>49</w:t>
            </w:r>
            <w:r w:rsidRPr="00490C24">
              <w:rPr>
                <w:rFonts w:ascii="Arial" w:hAnsi="Arial" w:cs="Arial"/>
                <w:sz w:val="18"/>
                <w:szCs w:val="18"/>
              </w:rPr>
              <w:t xml:space="preserve"> </w:t>
            </w:r>
            <w:r w:rsidR="00B11368">
              <w:rPr>
                <w:rFonts w:ascii="Arial" w:hAnsi="Arial" w:cs="Arial"/>
                <w:sz w:val="18"/>
                <w:szCs w:val="18"/>
              </w:rPr>
              <w:t>406</w:t>
            </w:r>
            <w:r w:rsidRPr="00490C24">
              <w:rPr>
                <w:rFonts w:ascii="Arial" w:hAnsi="Arial" w:cs="Arial"/>
                <w:sz w:val="18"/>
                <w:szCs w:val="18"/>
              </w:rPr>
              <w:t>,25 zł  (</w:t>
            </w:r>
            <w:r w:rsidR="00B11368">
              <w:rPr>
                <w:rFonts w:ascii="Arial" w:hAnsi="Arial" w:cs="Arial"/>
                <w:sz w:val="18"/>
                <w:szCs w:val="18"/>
              </w:rPr>
              <w:t>Cała kwota porozumienia obejmuje wyłącznie wydatki kwalifikowalne)</w:t>
            </w:r>
            <w:r w:rsidRPr="00490C24">
              <w:rPr>
                <w:rFonts w:ascii="Arial" w:hAnsi="Arial" w:cs="Arial"/>
                <w:color w:val="000000"/>
                <w:sz w:val="18"/>
                <w:szCs w:val="18"/>
              </w:rPr>
              <w:t xml:space="preserve"> </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FB3ED5">
        <w:trPr>
          <w:trHeight w:val="811"/>
        </w:trPr>
        <w:tc>
          <w:tcPr>
            <w:tcW w:w="2972" w:type="dxa"/>
            <w:vAlign w:val="center"/>
          </w:tcPr>
          <w:p w14:paraId="077C8D26" w14:textId="72C8F1FE" w:rsidR="003D736C" w:rsidRPr="00141A92" w:rsidRDefault="00894756" w:rsidP="00894756">
            <w:pPr>
              <w:jc w:val="center"/>
              <w:rPr>
                <w:rFonts w:ascii="Arial" w:hAnsi="Arial" w:cs="Arial"/>
                <w:color w:val="0070C0"/>
                <w:sz w:val="18"/>
                <w:szCs w:val="20"/>
              </w:rPr>
            </w:pPr>
            <w:r>
              <w:rPr>
                <w:rFonts w:ascii="Arial" w:hAnsi="Arial" w:cs="Arial"/>
                <w:color w:val="000000" w:themeColor="text1"/>
                <w:sz w:val="18"/>
                <w:szCs w:val="20"/>
              </w:rPr>
              <w:t>67,9</w:t>
            </w:r>
            <w:r w:rsidR="003D736C" w:rsidRPr="00843DC4">
              <w:rPr>
                <w:rFonts w:ascii="Arial" w:hAnsi="Arial" w:cs="Arial"/>
                <w:color w:val="000000" w:themeColor="text1"/>
                <w:sz w:val="18"/>
                <w:szCs w:val="20"/>
              </w:rPr>
              <w:t>%</w:t>
            </w:r>
          </w:p>
        </w:tc>
        <w:tc>
          <w:tcPr>
            <w:tcW w:w="3260" w:type="dxa"/>
            <w:vAlign w:val="center"/>
          </w:tcPr>
          <w:p w14:paraId="547B1781" w14:textId="32304536" w:rsidR="003D736C" w:rsidRDefault="00A90257" w:rsidP="003D736C">
            <w:pPr>
              <w:jc w:val="center"/>
              <w:rPr>
                <w:rFonts w:ascii="Arial" w:hAnsi="Arial" w:cs="Arial"/>
                <w:color w:val="000000" w:themeColor="text1"/>
                <w:sz w:val="18"/>
                <w:szCs w:val="20"/>
              </w:rPr>
            </w:pPr>
            <w:r>
              <w:rPr>
                <w:rFonts w:ascii="Arial" w:hAnsi="Arial" w:cs="Arial"/>
                <w:color w:val="000000" w:themeColor="text1"/>
                <w:sz w:val="18"/>
                <w:szCs w:val="20"/>
              </w:rPr>
              <w:t>20</w:t>
            </w:r>
            <w:r w:rsidR="003D736C" w:rsidRPr="00843DC4">
              <w:rPr>
                <w:rFonts w:ascii="Arial" w:hAnsi="Arial" w:cs="Arial"/>
                <w:color w:val="000000" w:themeColor="text1"/>
                <w:sz w:val="18"/>
                <w:szCs w:val="20"/>
              </w:rPr>
              <w:t>,</w:t>
            </w:r>
            <w:r>
              <w:rPr>
                <w:rFonts w:ascii="Arial" w:hAnsi="Arial" w:cs="Arial"/>
                <w:color w:val="000000" w:themeColor="text1"/>
                <w:sz w:val="18"/>
                <w:szCs w:val="20"/>
              </w:rPr>
              <w:t>82</w:t>
            </w:r>
            <w:r w:rsidR="00B11368">
              <w:rPr>
                <w:rFonts w:ascii="Arial" w:hAnsi="Arial" w:cs="Arial"/>
                <w:color w:val="000000" w:themeColor="text1"/>
                <w:sz w:val="18"/>
                <w:szCs w:val="20"/>
              </w:rPr>
              <w:t xml:space="preserve"> </w:t>
            </w:r>
            <w:r w:rsidR="003D736C">
              <w:rPr>
                <w:rFonts w:ascii="Arial" w:hAnsi="Arial" w:cs="Arial"/>
                <w:color w:val="000000" w:themeColor="text1"/>
                <w:sz w:val="18"/>
                <w:szCs w:val="20"/>
              </w:rPr>
              <w:t>%</w:t>
            </w:r>
          </w:p>
          <w:p w14:paraId="705AD9A4" w14:textId="6B4047E3" w:rsidR="005C7352" w:rsidRDefault="00055B7B" w:rsidP="003D736C">
            <w:pPr>
              <w:jc w:val="center"/>
              <w:rPr>
                <w:rFonts w:ascii="Arial" w:hAnsi="Arial" w:cs="Arial"/>
                <w:color w:val="000000" w:themeColor="text1"/>
                <w:sz w:val="18"/>
                <w:szCs w:val="20"/>
              </w:rPr>
            </w:pPr>
            <w:r>
              <w:rPr>
                <w:rFonts w:ascii="Arial" w:hAnsi="Arial" w:cs="Arial"/>
                <w:color w:val="000000" w:themeColor="text1"/>
                <w:sz w:val="18"/>
                <w:szCs w:val="20"/>
              </w:rPr>
              <w:t>19</w:t>
            </w:r>
            <w:r w:rsidR="005C7352">
              <w:rPr>
                <w:rFonts w:ascii="Arial" w:hAnsi="Arial" w:cs="Arial"/>
                <w:color w:val="000000" w:themeColor="text1"/>
                <w:sz w:val="18"/>
                <w:szCs w:val="20"/>
              </w:rPr>
              <w:t>,</w:t>
            </w:r>
            <w:r>
              <w:rPr>
                <w:rFonts w:ascii="Arial" w:hAnsi="Arial" w:cs="Arial"/>
                <w:color w:val="000000" w:themeColor="text1"/>
                <w:sz w:val="18"/>
                <w:szCs w:val="20"/>
              </w:rPr>
              <w:t>6</w:t>
            </w:r>
            <w:r w:rsidR="00B11368">
              <w:rPr>
                <w:rFonts w:ascii="Arial" w:hAnsi="Arial" w:cs="Arial"/>
                <w:color w:val="000000" w:themeColor="text1"/>
                <w:sz w:val="18"/>
                <w:szCs w:val="20"/>
              </w:rPr>
              <w:t>3</w:t>
            </w:r>
            <w:r w:rsidR="005C7352">
              <w:rPr>
                <w:rFonts w:ascii="Arial" w:hAnsi="Arial" w:cs="Arial"/>
                <w:color w:val="000000" w:themeColor="text1"/>
                <w:sz w:val="18"/>
                <w:szCs w:val="20"/>
              </w:rPr>
              <w:t xml:space="preserve"> %</w:t>
            </w:r>
          </w:p>
          <w:p w14:paraId="4929DAC9" w14:textId="5B5E16D5" w:rsidR="005C7352" w:rsidRPr="00CE23CF" w:rsidRDefault="00A90257" w:rsidP="00A90257">
            <w:pPr>
              <w:jc w:val="center"/>
              <w:rPr>
                <w:rFonts w:ascii="Arial" w:hAnsi="Arial" w:cs="Arial"/>
                <w:color w:val="000000" w:themeColor="text1"/>
                <w:sz w:val="18"/>
                <w:szCs w:val="20"/>
              </w:rPr>
            </w:pPr>
            <w:r>
              <w:rPr>
                <w:rFonts w:ascii="Arial" w:hAnsi="Arial" w:cs="Arial"/>
                <w:color w:val="000000" w:themeColor="text1"/>
                <w:sz w:val="18"/>
                <w:szCs w:val="20"/>
              </w:rPr>
              <w:t>20</w:t>
            </w:r>
            <w:r w:rsidR="00CE23CF" w:rsidRPr="00CE23CF">
              <w:rPr>
                <w:rFonts w:ascii="Arial" w:hAnsi="Arial" w:cs="Arial"/>
                <w:color w:val="000000" w:themeColor="text1"/>
                <w:sz w:val="18"/>
                <w:szCs w:val="20"/>
              </w:rPr>
              <w:t>,</w:t>
            </w:r>
            <w:r>
              <w:rPr>
                <w:rFonts w:ascii="Arial" w:hAnsi="Arial" w:cs="Arial"/>
                <w:color w:val="000000" w:themeColor="text1"/>
                <w:sz w:val="18"/>
                <w:szCs w:val="20"/>
              </w:rPr>
              <w:t>61</w:t>
            </w:r>
            <w:r w:rsidR="00CE23CF" w:rsidRPr="00CE23CF">
              <w:rPr>
                <w:rFonts w:ascii="Arial" w:hAnsi="Arial" w:cs="Arial"/>
                <w:color w:val="000000" w:themeColor="text1"/>
                <w:sz w:val="18"/>
                <w:szCs w:val="20"/>
              </w:rPr>
              <w:t xml:space="preserve"> %</w:t>
            </w:r>
          </w:p>
        </w:tc>
        <w:tc>
          <w:tcPr>
            <w:tcW w:w="3402" w:type="dxa"/>
            <w:vAlign w:val="center"/>
          </w:tcPr>
          <w:p w14:paraId="65BB31D3" w14:textId="155FC37C" w:rsidR="00866716" w:rsidRPr="00141A92" w:rsidRDefault="00645E75" w:rsidP="00A90257">
            <w:pPr>
              <w:jc w:val="center"/>
              <w:rPr>
                <w:rFonts w:ascii="Arial" w:hAnsi="Arial" w:cs="Arial"/>
                <w:color w:val="0070C0"/>
                <w:sz w:val="18"/>
                <w:szCs w:val="20"/>
              </w:rPr>
            </w:pPr>
            <w:r>
              <w:rPr>
                <w:rFonts w:ascii="Arial" w:hAnsi="Arial" w:cs="Arial"/>
                <w:color w:val="000000" w:themeColor="text1"/>
                <w:sz w:val="18"/>
                <w:szCs w:val="20"/>
              </w:rPr>
              <w:t>67</w:t>
            </w:r>
            <w:r w:rsidR="00CE63B2">
              <w:rPr>
                <w:rFonts w:ascii="Arial" w:hAnsi="Arial" w:cs="Arial"/>
                <w:color w:val="000000" w:themeColor="text1"/>
                <w:sz w:val="18"/>
                <w:szCs w:val="20"/>
              </w:rPr>
              <w:t>,</w:t>
            </w:r>
            <w:r w:rsidR="00A90257">
              <w:rPr>
                <w:rFonts w:ascii="Arial" w:hAnsi="Arial" w:cs="Arial"/>
                <w:color w:val="000000" w:themeColor="text1"/>
                <w:sz w:val="18"/>
                <w:szCs w:val="20"/>
              </w:rPr>
              <w:t>96</w:t>
            </w:r>
            <w:r w:rsidR="00014699">
              <w:rPr>
                <w:rFonts w:ascii="Arial" w:hAnsi="Arial" w:cs="Arial"/>
                <w:color w:val="000000" w:themeColor="text1"/>
                <w:sz w:val="18"/>
                <w:szCs w:val="20"/>
              </w:rPr>
              <w:t xml:space="preserve"> </w:t>
            </w:r>
            <w:r w:rsidR="003D736C" w:rsidRPr="00843DC4">
              <w:rPr>
                <w:rFonts w:ascii="Arial" w:hAnsi="Arial" w:cs="Arial"/>
                <w:color w:val="000000" w:themeColor="text1"/>
                <w:sz w:val="18"/>
                <w:szCs w:val="20"/>
              </w:rPr>
              <w:t>%</w:t>
            </w:r>
          </w:p>
        </w:tc>
      </w:tr>
    </w:tbl>
    <w:p w14:paraId="1B60E781" w14:textId="685C6542"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0AC6BCD" w14:textId="3EE4B15A" w:rsidR="00FB3ED5" w:rsidRDefault="00FB3ED5" w:rsidP="00FB3ED5"/>
    <w:p w14:paraId="7E9BED1F" w14:textId="77777777" w:rsidR="00FB3ED5" w:rsidRPr="00FB3ED5" w:rsidRDefault="00FB3ED5" w:rsidP="00FB3ED5"/>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132B5000" w:rsidR="003D736C" w:rsidRPr="00A23E05" w:rsidRDefault="003D736C" w:rsidP="00A51E96">
            <w:pPr>
              <w:rPr>
                <w:rFonts w:ascii="Arial" w:hAnsi="Arial" w:cs="Arial"/>
                <w:sz w:val="18"/>
                <w:szCs w:val="18"/>
              </w:rPr>
            </w:pPr>
            <w:r w:rsidRPr="00A23E05">
              <w:rPr>
                <w:rFonts w:ascii="Arial" w:hAnsi="Arial" w:cs="Arial"/>
                <w:sz w:val="18"/>
                <w:szCs w:val="18"/>
              </w:rPr>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52A9D362" w:rsidR="003D736C" w:rsidRPr="00A23E05" w:rsidRDefault="00EA2F98" w:rsidP="003D736C">
            <w:pPr>
              <w:pStyle w:val="Akapitzlist"/>
              <w:ind w:left="7"/>
              <w:rPr>
                <w:rFonts w:ascii="Arial" w:hAnsi="Arial" w:cs="Arial"/>
                <w:sz w:val="18"/>
                <w:szCs w:val="18"/>
              </w:rPr>
            </w:pPr>
            <w:r>
              <w:rPr>
                <w:rFonts w:ascii="Arial" w:hAnsi="Arial" w:cs="Arial"/>
                <w:sz w:val="18"/>
                <w:szCs w:val="18"/>
              </w:rPr>
              <w:t>05.2020 r.</w:t>
            </w:r>
          </w:p>
        </w:tc>
        <w:tc>
          <w:tcPr>
            <w:tcW w:w="2802" w:type="dxa"/>
          </w:tcPr>
          <w:p w14:paraId="2E8FBF4A" w14:textId="6026C76D" w:rsidR="00081E69" w:rsidRPr="00A23E05" w:rsidRDefault="00865BD6" w:rsidP="00081E69">
            <w:pPr>
              <w:rPr>
                <w:rFonts w:ascii="Arial" w:hAnsi="Arial" w:cs="Arial"/>
                <w:sz w:val="18"/>
                <w:szCs w:val="18"/>
              </w:rPr>
            </w:pPr>
            <w:r w:rsidRPr="00865BD6">
              <w:rPr>
                <w:rFonts w:ascii="Arial" w:hAnsi="Arial" w:cs="Arial"/>
                <w:sz w:val="18"/>
                <w:szCs w:val="18"/>
              </w:rPr>
              <w:t xml:space="preserve">- </w:t>
            </w:r>
            <w:r w:rsidR="00081E69" w:rsidRPr="00A23E05">
              <w:rPr>
                <w:rFonts w:ascii="Arial" w:hAnsi="Arial" w:cs="Arial"/>
                <w:sz w:val="18"/>
                <w:szCs w:val="18"/>
              </w:rPr>
              <w:t>osiągnięty</w:t>
            </w:r>
          </w:p>
          <w:p w14:paraId="06F14378" w14:textId="2AF84D07" w:rsidR="00865BD6" w:rsidRPr="00865BD6" w:rsidRDefault="00865BD6" w:rsidP="00865BD6">
            <w:pPr>
              <w:rPr>
                <w:rFonts w:ascii="Arial" w:hAnsi="Arial" w:cs="Arial"/>
                <w:sz w:val="18"/>
                <w:szCs w:val="18"/>
              </w:rPr>
            </w:pPr>
            <w:r w:rsidRPr="00865BD6">
              <w:rPr>
                <w:rFonts w:ascii="Arial" w:hAnsi="Arial" w:cs="Arial"/>
                <w:sz w:val="18"/>
                <w:szCs w:val="18"/>
              </w:rPr>
              <w:t xml:space="preserve">Postępowanie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 xml:space="preserve">prowadzone przez Centrum Informatyki Resortu Finansów. Opóźnienie spowodowane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koniecznością przeprowadzenia przez CIRF licznych postępowań o zamówienia publiczne, których termin płatności upływał 2019 r</w:t>
            </w:r>
          </w:p>
          <w:p w14:paraId="3355B8E8" w14:textId="77777777" w:rsidR="00081E69" w:rsidRDefault="00081E69" w:rsidP="00B8735C">
            <w:pPr>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Pr="0087770F">
              <w:rPr>
                <w:rFonts w:ascii="Arial" w:hAnsi="Arial" w:cs="Arial"/>
                <w:sz w:val="18"/>
                <w:szCs w:val="18"/>
              </w:rPr>
              <w:t xml:space="preserve"> </w:t>
            </w:r>
          </w:p>
          <w:p w14:paraId="6184957A" w14:textId="627C1FCC" w:rsidR="0000292B" w:rsidRPr="00A23E05" w:rsidRDefault="0000292B" w:rsidP="00B8735C">
            <w:pPr>
              <w:rPr>
                <w:rFonts w:ascii="Arial" w:hAnsi="Arial" w:cs="Arial"/>
                <w:sz w:val="18"/>
                <w:szCs w:val="18"/>
              </w:rPr>
            </w:pPr>
            <w:r>
              <w:rPr>
                <w:rFonts w:ascii="Arial" w:hAnsi="Arial" w:cs="Arial"/>
                <w:sz w:val="18"/>
                <w:szCs w:val="18"/>
              </w:rPr>
              <w:t>– 06.06.2020 r.</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2BC72178" w:rsidR="003D736C" w:rsidRPr="00A23E05" w:rsidRDefault="003D736C" w:rsidP="00865BD6">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66AB8DBF" w:rsidR="003D736C" w:rsidRPr="00A23E05" w:rsidRDefault="00A51E96" w:rsidP="003D736C">
            <w:pPr>
              <w:pStyle w:val="Akapitzlist"/>
              <w:ind w:left="7"/>
              <w:rPr>
                <w:rFonts w:ascii="Arial" w:hAnsi="Arial" w:cs="Arial"/>
                <w:sz w:val="18"/>
                <w:szCs w:val="18"/>
              </w:rPr>
            </w:pPr>
            <w:r>
              <w:rPr>
                <w:rFonts w:ascii="Arial" w:hAnsi="Arial" w:cs="Arial"/>
                <w:sz w:val="18"/>
                <w:szCs w:val="18"/>
              </w:rPr>
              <w:t>06.2020</w:t>
            </w:r>
            <w:r w:rsidR="00EA2F98">
              <w:rPr>
                <w:rFonts w:ascii="Arial" w:hAnsi="Arial" w:cs="Arial"/>
                <w:sz w:val="18"/>
                <w:szCs w:val="18"/>
              </w:rPr>
              <w:t xml:space="preserve"> r.</w:t>
            </w:r>
          </w:p>
        </w:tc>
        <w:tc>
          <w:tcPr>
            <w:tcW w:w="2802" w:type="dxa"/>
          </w:tcPr>
          <w:p w14:paraId="02CE294F" w14:textId="06B3F7A0"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 xml:space="preserve">- </w:t>
            </w:r>
            <w:r w:rsidR="00081E69">
              <w:rPr>
                <w:rFonts w:ascii="Arial" w:hAnsi="Arial" w:cs="Arial"/>
                <w:sz w:val="18"/>
                <w:szCs w:val="18"/>
              </w:rPr>
              <w:t xml:space="preserve">osiągnięty </w:t>
            </w:r>
          </w:p>
          <w:p w14:paraId="25DA85F9" w14:textId="77777777" w:rsidR="00A51E96" w:rsidRDefault="00865BD6" w:rsidP="00A51E96">
            <w:pPr>
              <w:pStyle w:val="Akapitzlist"/>
              <w:ind w:left="7"/>
              <w:rPr>
                <w:rFonts w:ascii="Arial" w:hAnsi="Arial" w:cs="Arial"/>
                <w:sz w:val="18"/>
                <w:szCs w:val="18"/>
              </w:rPr>
            </w:pPr>
            <w:r w:rsidRPr="00865BD6">
              <w:rPr>
                <w:rFonts w:ascii="Arial" w:hAnsi="Arial" w:cs="Arial"/>
                <w:sz w:val="18"/>
                <w:szCs w:val="18"/>
              </w:rPr>
              <w:t xml:space="preserve">Opóźnienie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konsekwencją przedłużających się prac nad przygotowaniem SIWZ Ogłoszenie przetargu nastąpiło dopiero w dniu 3 grudnia 2019 r.</w:t>
            </w:r>
            <w:r w:rsidR="0000292B">
              <w:rPr>
                <w:rFonts w:ascii="Arial" w:hAnsi="Arial" w:cs="Arial"/>
                <w:sz w:val="18"/>
                <w:szCs w:val="18"/>
              </w:rPr>
              <w:t xml:space="preserve"> Należy przy tym podkreślić, że </w:t>
            </w:r>
            <w:r w:rsidR="00A51E96">
              <w:rPr>
                <w:rFonts w:ascii="Arial" w:hAnsi="Arial" w:cs="Arial"/>
                <w:sz w:val="18"/>
                <w:szCs w:val="18"/>
              </w:rPr>
              <w:t>W</w:t>
            </w:r>
            <w:r w:rsidR="0000292B">
              <w:rPr>
                <w:rFonts w:ascii="Arial" w:hAnsi="Arial" w:cs="Arial"/>
                <w:sz w:val="18"/>
                <w:szCs w:val="18"/>
              </w:rPr>
              <w:t>ykonawc</w:t>
            </w:r>
            <w:r w:rsidR="00A51E96">
              <w:rPr>
                <w:rFonts w:ascii="Arial" w:hAnsi="Arial" w:cs="Arial"/>
                <w:sz w:val="18"/>
                <w:szCs w:val="18"/>
              </w:rPr>
              <w:t>a</w:t>
            </w:r>
            <w:r w:rsidR="0000292B">
              <w:rPr>
                <w:rFonts w:ascii="Arial" w:hAnsi="Arial" w:cs="Arial"/>
                <w:sz w:val="18"/>
                <w:szCs w:val="18"/>
              </w:rPr>
              <w:t>, złoży</w:t>
            </w:r>
            <w:r w:rsidR="00A51E96">
              <w:rPr>
                <w:rFonts w:ascii="Arial" w:hAnsi="Arial" w:cs="Arial"/>
                <w:sz w:val="18"/>
                <w:szCs w:val="18"/>
              </w:rPr>
              <w:t>ł</w:t>
            </w:r>
            <w:r w:rsidR="0000292B">
              <w:rPr>
                <w:rFonts w:ascii="Arial" w:hAnsi="Arial" w:cs="Arial"/>
                <w:sz w:val="18"/>
                <w:szCs w:val="18"/>
              </w:rPr>
              <w:t xml:space="preserve"> ofert</w:t>
            </w:r>
            <w:r w:rsidR="00A51E96">
              <w:rPr>
                <w:rFonts w:ascii="Arial" w:hAnsi="Arial" w:cs="Arial"/>
                <w:sz w:val="18"/>
                <w:szCs w:val="18"/>
              </w:rPr>
              <w:t>ę</w:t>
            </w:r>
            <w:r w:rsidR="0000292B">
              <w:rPr>
                <w:rFonts w:ascii="Arial" w:hAnsi="Arial" w:cs="Arial"/>
                <w:sz w:val="18"/>
                <w:szCs w:val="18"/>
              </w:rPr>
              <w:t xml:space="preserve"> </w:t>
            </w:r>
            <w:r w:rsidR="00A51E96">
              <w:rPr>
                <w:rFonts w:ascii="Arial" w:hAnsi="Arial" w:cs="Arial"/>
                <w:sz w:val="18"/>
                <w:szCs w:val="18"/>
              </w:rPr>
              <w:t xml:space="preserve">z </w:t>
            </w:r>
            <w:r w:rsidR="0000292B">
              <w:rPr>
                <w:rFonts w:ascii="Arial" w:hAnsi="Arial" w:cs="Arial"/>
                <w:sz w:val="18"/>
                <w:szCs w:val="18"/>
              </w:rPr>
              <w:t>roczny</w:t>
            </w:r>
            <w:r w:rsidR="00A51E96">
              <w:rPr>
                <w:rFonts w:ascii="Arial" w:hAnsi="Arial" w:cs="Arial"/>
                <w:sz w:val="18"/>
                <w:szCs w:val="18"/>
              </w:rPr>
              <w:t>m</w:t>
            </w:r>
            <w:r w:rsidR="0000292B">
              <w:rPr>
                <w:rFonts w:ascii="Arial" w:hAnsi="Arial" w:cs="Arial"/>
                <w:sz w:val="18"/>
                <w:szCs w:val="18"/>
              </w:rPr>
              <w:t xml:space="preserve"> termin wykonania przedmiotu zamówienia, więc </w:t>
            </w:r>
            <w:r w:rsidR="0000292B">
              <w:rPr>
                <w:rFonts w:ascii="Arial" w:hAnsi="Arial" w:cs="Arial"/>
                <w:sz w:val="18"/>
                <w:szCs w:val="18"/>
              </w:rPr>
              <w:lastRenderedPageBreak/>
              <w:t>końcowy termin realizacji projektu nie jest zagrożony</w:t>
            </w:r>
            <w:r w:rsidR="00A51E96">
              <w:rPr>
                <w:rFonts w:ascii="Arial" w:hAnsi="Arial" w:cs="Arial"/>
                <w:sz w:val="18"/>
                <w:szCs w:val="18"/>
              </w:rPr>
              <w:t xml:space="preserve"> </w:t>
            </w:r>
          </w:p>
          <w:p w14:paraId="39A4D3A5" w14:textId="4B526AF6" w:rsidR="0000292B" w:rsidRPr="00A23E05" w:rsidRDefault="00A51E96" w:rsidP="00A51E96">
            <w:pPr>
              <w:pStyle w:val="Akapitzlist"/>
              <w:ind w:left="7"/>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0000292B">
              <w:rPr>
                <w:rFonts w:ascii="Arial" w:hAnsi="Arial" w:cs="Arial"/>
                <w:sz w:val="18"/>
                <w:szCs w:val="18"/>
              </w:rPr>
              <w:t>– 06.06.2020 r.</w:t>
            </w:r>
          </w:p>
        </w:tc>
      </w:tr>
      <w:tr w:rsidR="003D736C" w:rsidRPr="00EA2F98" w14:paraId="672AE021" w14:textId="77777777" w:rsidTr="006B5117">
        <w:tc>
          <w:tcPr>
            <w:tcW w:w="2127" w:type="dxa"/>
          </w:tcPr>
          <w:p w14:paraId="571E7240" w14:textId="72E53856" w:rsidR="003D736C" w:rsidRPr="00EA2F98" w:rsidRDefault="003D736C" w:rsidP="003D736C">
            <w:pPr>
              <w:rPr>
                <w:rFonts w:ascii="Arial" w:hAnsi="Arial" w:cs="Arial"/>
                <w:sz w:val="18"/>
                <w:szCs w:val="18"/>
              </w:rPr>
            </w:pPr>
            <w:r w:rsidRPr="00EA2F98">
              <w:rPr>
                <w:rFonts w:ascii="Arial" w:hAnsi="Arial" w:cs="Arial"/>
                <w:sz w:val="18"/>
                <w:szCs w:val="18"/>
              </w:rPr>
              <w:lastRenderedPageBreak/>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EA2F98" w:rsidRDefault="003D736C" w:rsidP="003D736C">
            <w:pPr>
              <w:rPr>
                <w:rFonts w:ascii="Arial" w:hAnsi="Arial" w:cs="Arial"/>
                <w:color w:val="0070C0"/>
                <w:sz w:val="18"/>
                <w:szCs w:val="18"/>
              </w:rPr>
            </w:pPr>
          </w:p>
        </w:tc>
        <w:tc>
          <w:tcPr>
            <w:tcW w:w="1289" w:type="dxa"/>
          </w:tcPr>
          <w:p w14:paraId="3892B60F" w14:textId="5EAF4017"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6F5F3470" w14:textId="6C269E53" w:rsidR="003D736C" w:rsidRPr="00EA2F98" w:rsidRDefault="00EA2F98" w:rsidP="003D736C">
            <w:pPr>
              <w:pStyle w:val="Akapitzlist"/>
              <w:ind w:left="7"/>
              <w:rPr>
                <w:rFonts w:ascii="Arial" w:hAnsi="Arial" w:cs="Arial"/>
                <w:sz w:val="18"/>
                <w:szCs w:val="18"/>
              </w:rPr>
            </w:pPr>
            <w:r>
              <w:rPr>
                <w:rFonts w:ascii="Arial" w:hAnsi="Arial" w:cs="Arial"/>
                <w:sz w:val="18"/>
                <w:szCs w:val="18"/>
              </w:rPr>
              <w:t>06.</w:t>
            </w:r>
            <w:r w:rsidRPr="00EA2F98">
              <w:rPr>
                <w:rFonts w:ascii="Arial" w:hAnsi="Arial" w:cs="Arial"/>
                <w:sz w:val="18"/>
                <w:szCs w:val="18"/>
              </w:rPr>
              <w:t>2020</w:t>
            </w:r>
            <w:r>
              <w:rPr>
                <w:rFonts w:ascii="Arial" w:hAnsi="Arial" w:cs="Arial"/>
                <w:sz w:val="18"/>
                <w:szCs w:val="18"/>
              </w:rPr>
              <w:t xml:space="preserve"> r.</w:t>
            </w:r>
          </w:p>
        </w:tc>
        <w:tc>
          <w:tcPr>
            <w:tcW w:w="2802" w:type="dxa"/>
          </w:tcPr>
          <w:p w14:paraId="014EFD4D" w14:textId="1A0B1BD1" w:rsidR="003D736C" w:rsidRPr="00A51E96" w:rsidRDefault="003D736C" w:rsidP="003D736C">
            <w:pPr>
              <w:rPr>
                <w:rFonts w:ascii="Arial" w:hAnsi="Arial" w:cs="Arial"/>
                <w:sz w:val="18"/>
                <w:szCs w:val="18"/>
              </w:rPr>
            </w:pPr>
            <w:r w:rsidRPr="00A51E96">
              <w:rPr>
                <w:rFonts w:ascii="Arial" w:hAnsi="Arial" w:cs="Arial"/>
                <w:sz w:val="18"/>
                <w:szCs w:val="18"/>
              </w:rPr>
              <w:t xml:space="preserve">- </w:t>
            </w:r>
            <w:r w:rsidR="00A51E96">
              <w:rPr>
                <w:rFonts w:ascii="Arial" w:hAnsi="Arial" w:cs="Arial"/>
                <w:sz w:val="18"/>
                <w:szCs w:val="18"/>
              </w:rPr>
              <w:t>osiągnięty</w:t>
            </w:r>
          </w:p>
          <w:p w14:paraId="3AE9FAB7" w14:textId="147B2B5A" w:rsidR="007D538E" w:rsidRPr="00A51E96" w:rsidRDefault="007D538E">
            <w:pPr>
              <w:rPr>
                <w:rFonts w:ascii="Arial" w:hAnsi="Arial" w:cs="Arial"/>
                <w:sz w:val="18"/>
                <w:szCs w:val="18"/>
              </w:rPr>
            </w:pPr>
            <w:r w:rsidRPr="00A51E96">
              <w:rPr>
                <w:rFonts w:ascii="Arial" w:hAnsi="Arial" w:cs="Arial"/>
                <w:sz w:val="18"/>
                <w:szCs w:val="18"/>
              </w:rPr>
              <w:t>Opóźnienie jest konsekwencj</w:t>
            </w:r>
            <w:r w:rsidR="00A51E96">
              <w:rPr>
                <w:rFonts w:ascii="Arial" w:hAnsi="Arial" w:cs="Arial"/>
                <w:sz w:val="18"/>
                <w:szCs w:val="18"/>
              </w:rPr>
              <w:t>ą</w:t>
            </w:r>
            <w:r w:rsidRPr="00A51E96">
              <w:rPr>
                <w:rFonts w:ascii="Arial" w:hAnsi="Arial" w:cs="Arial"/>
                <w:sz w:val="18"/>
                <w:szCs w:val="18"/>
              </w:rPr>
              <w:t xml:space="preserve"> opóźnień w prowadzonych postepowaniach o udzielenie zamówień publicznych na elementy infrastruktury informatycznej. </w:t>
            </w:r>
          </w:p>
          <w:p w14:paraId="326BA878" w14:textId="720AC197" w:rsidR="0000292B" w:rsidRPr="00A51E96" w:rsidRDefault="00A51E96">
            <w:pPr>
              <w:rPr>
                <w:rFonts w:ascii="Arial" w:hAnsi="Arial" w:cs="Arial"/>
                <w:sz w:val="18"/>
                <w:szCs w:val="18"/>
              </w:rPr>
            </w:pPr>
            <w:r>
              <w:rPr>
                <w:rFonts w:ascii="Arial" w:hAnsi="Arial" w:cs="Arial"/>
                <w:sz w:val="18"/>
                <w:szCs w:val="18"/>
              </w:rPr>
              <w:t xml:space="preserve">Kamień milowy został osiągnięty przed datą punktu ostatecznego, określoną w harmonogramie kamieni milowych, tj.- </w:t>
            </w:r>
            <w:r w:rsidR="0000292B" w:rsidRPr="00A51E96">
              <w:rPr>
                <w:rFonts w:ascii="Arial" w:hAnsi="Arial" w:cs="Arial"/>
                <w:sz w:val="18"/>
                <w:szCs w:val="18"/>
              </w:rPr>
              <w:t>31.06.2020 r.</w:t>
            </w:r>
          </w:p>
        </w:tc>
      </w:tr>
      <w:tr w:rsidR="003D736C" w:rsidRPr="00A51E96" w14:paraId="0F20D8B8" w14:textId="77777777" w:rsidTr="006B5117">
        <w:tc>
          <w:tcPr>
            <w:tcW w:w="2127" w:type="dxa"/>
          </w:tcPr>
          <w:p w14:paraId="5588DD25" w14:textId="7A26D252" w:rsidR="003D736C" w:rsidRPr="00EA2F98" w:rsidRDefault="003D736C" w:rsidP="003D736C">
            <w:pPr>
              <w:rPr>
                <w:rFonts w:ascii="Arial" w:hAnsi="Arial" w:cs="Arial"/>
                <w:sz w:val="18"/>
                <w:szCs w:val="18"/>
              </w:rPr>
            </w:pPr>
            <w:r w:rsidRPr="00EA2F98">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EA2F98" w:rsidRDefault="003D736C" w:rsidP="003D736C">
            <w:pPr>
              <w:rPr>
                <w:rFonts w:ascii="Arial" w:hAnsi="Arial" w:cs="Arial"/>
                <w:color w:val="0070C0"/>
                <w:sz w:val="18"/>
                <w:szCs w:val="18"/>
              </w:rPr>
            </w:pPr>
          </w:p>
        </w:tc>
        <w:tc>
          <w:tcPr>
            <w:tcW w:w="1289" w:type="dxa"/>
          </w:tcPr>
          <w:p w14:paraId="41F8769D" w14:textId="3E5F9EEE"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73EB3D86" w14:textId="0F3A8E76" w:rsidR="003D736C" w:rsidRPr="00EA2F98" w:rsidRDefault="00841607" w:rsidP="003D736C">
            <w:pPr>
              <w:pStyle w:val="Akapitzlist"/>
              <w:ind w:left="7"/>
              <w:rPr>
                <w:rFonts w:ascii="Arial" w:hAnsi="Arial" w:cs="Arial"/>
                <w:sz w:val="18"/>
                <w:szCs w:val="18"/>
              </w:rPr>
            </w:pPr>
            <w:r>
              <w:rPr>
                <w:rFonts w:ascii="Arial" w:hAnsi="Arial" w:cs="Arial"/>
                <w:sz w:val="18"/>
                <w:szCs w:val="18"/>
              </w:rPr>
              <w:t>09.2020 r.</w:t>
            </w:r>
          </w:p>
        </w:tc>
        <w:tc>
          <w:tcPr>
            <w:tcW w:w="2802" w:type="dxa"/>
          </w:tcPr>
          <w:p w14:paraId="45B3F850" w14:textId="78C023B5" w:rsidR="007D538E" w:rsidRPr="00A51E96" w:rsidRDefault="003D736C" w:rsidP="003D736C">
            <w:pPr>
              <w:rPr>
                <w:rFonts w:ascii="Arial" w:hAnsi="Arial" w:cs="Arial"/>
                <w:sz w:val="18"/>
                <w:szCs w:val="18"/>
              </w:rPr>
            </w:pPr>
            <w:r w:rsidRPr="00A51E96">
              <w:rPr>
                <w:rFonts w:ascii="Arial" w:hAnsi="Arial" w:cs="Arial"/>
                <w:sz w:val="18"/>
                <w:szCs w:val="18"/>
              </w:rPr>
              <w:t xml:space="preserve">- </w:t>
            </w:r>
            <w:r w:rsidR="009E5BE5">
              <w:rPr>
                <w:rFonts w:ascii="Arial" w:hAnsi="Arial" w:cs="Arial"/>
                <w:sz w:val="18"/>
                <w:szCs w:val="18"/>
              </w:rPr>
              <w:t>osiągnięty</w:t>
            </w:r>
          </w:p>
          <w:p w14:paraId="5CF80B38" w14:textId="48DBD5DB" w:rsidR="007D538E" w:rsidRPr="00A51E96" w:rsidRDefault="007D538E">
            <w:pPr>
              <w:rPr>
                <w:rFonts w:ascii="Arial" w:hAnsi="Arial" w:cs="Arial"/>
                <w:sz w:val="18"/>
                <w:szCs w:val="18"/>
              </w:rPr>
            </w:pPr>
            <w:r w:rsidRPr="00A51E96">
              <w:rPr>
                <w:rFonts w:ascii="Arial" w:hAnsi="Arial" w:cs="Arial"/>
                <w:sz w:val="18"/>
                <w:szCs w:val="18"/>
              </w:rPr>
              <w:t>Opóźnienie jest konsekwencją opóźnień w prowadzony</w:t>
            </w:r>
            <w:r w:rsidR="00B11368" w:rsidRPr="00A51E96">
              <w:rPr>
                <w:rFonts w:ascii="Arial" w:hAnsi="Arial" w:cs="Arial"/>
                <w:sz w:val="18"/>
                <w:szCs w:val="18"/>
              </w:rPr>
              <w:t>m</w:t>
            </w:r>
            <w:r w:rsidRPr="00A51E96">
              <w:rPr>
                <w:rFonts w:ascii="Arial" w:hAnsi="Arial" w:cs="Arial"/>
                <w:sz w:val="18"/>
                <w:szCs w:val="18"/>
              </w:rPr>
              <w:t xml:space="preserve"> postępowani</w:t>
            </w:r>
            <w:r w:rsidR="00B11368" w:rsidRPr="00A51E96">
              <w:rPr>
                <w:rFonts w:ascii="Arial" w:hAnsi="Arial" w:cs="Arial"/>
                <w:sz w:val="18"/>
                <w:szCs w:val="18"/>
              </w:rPr>
              <w:t>u</w:t>
            </w:r>
            <w:r w:rsidRPr="00A51E96">
              <w:rPr>
                <w:rFonts w:ascii="Arial" w:hAnsi="Arial" w:cs="Arial"/>
                <w:sz w:val="18"/>
                <w:szCs w:val="18"/>
              </w:rPr>
              <w:t xml:space="preserve"> o udzielenie zamówienia publicznego na narzędzie informatyczne dla Systemu EUREKA</w:t>
            </w:r>
            <w:r w:rsidR="00B11368" w:rsidRPr="00A51E96">
              <w:rPr>
                <w:rFonts w:ascii="Arial" w:hAnsi="Arial" w:cs="Arial"/>
                <w:sz w:val="18"/>
                <w:szCs w:val="18"/>
              </w:rPr>
              <w:t xml:space="preserve">. </w:t>
            </w:r>
          </w:p>
          <w:p w14:paraId="22A42B60" w14:textId="743257C0" w:rsidR="0000292B" w:rsidRPr="00A51E96" w:rsidRDefault="009E5BE5">
            <w:pPr>
              <w:rPr>
                <w:rFonts w:ascii="Arial" w:hAnsi="Arial" w:cs="Arial"/>
                <w:b/>
                <w:sz w:val="18"/>
                <w:szCs w:val="18"/>
              </w:rPr>
            </w:pPr>
            <w:r>
              <w:rPr>
                <w:rFonts w:ascii="Arial" w:hAnsi="Arial" w:cs="Arial"/>
                <w:sz w:val="18"/>
                <w:szCs w:val="18"/>
              </w:rPr>
              <w:t>Kamień milowy został osiągnięty przed datą punktu ostatecznego, określoną w harmonogramie kamieni milowych, tj</w:t>
            </w:r>
            <w:r w:rsidRPr="00A51E96" w:rsidDel="009E5BE5">
              <w:rPr>
                <w:rFonts w:ascii="Arial" w:hAnsi="Arial" w:cs="Arial"/>
                <w:sz w:val="18"/>
                <w:szCs w:val="18"/>
              </w:rPr>
              <w:t xml:space="preserve"> </w:t>
            </w:r>
            <w:r w:rsidR="0000292B" w:rsidRPr="00A51E96">
              <w:rPr>
                <w:rFonts w:ascii="Arial" w:hAnsi="Arial" w:cs="Arial"/>
                <w:sz w:val="18"/>
                <w:szCs w:val="18"/>
              </w:rPr>
              <w:t>– 31.09.2020 r.</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15DB2359" w14:textId="77777777" w:rsidR="003D736C" w:rsidRDefault="003D736C" w:rsidP="009E5BE5">
            <w:pPr>
              <w:rPr>
                <w:rFonts w:ascii="Arial" w:hAnsi="Arial" w:cs="Arial"/>
                <w:sz w:val="18"/>
                <w:szCs w:val="18"/>
              </w:rPr>
            </w:pPr>
            <w:r w:rsidRPr="00A23E05">
              <w:rPr>
                <w:rFonts w:ascii="Arial" w:hAnsi="Arial" w:cs="Arial"/>
                <w:sz w:val="18"/>
                <w:szCs w:val="18"/>
              </w:rPr>
              <w:t xml:space="preserve">- </w:t>
            </w:r>
            <w:r w:rsidR="009E5BE5">
              <w:rPr>
                <w:rFonts w:ascii="Arial" w:hAnsi="Arial" w:cs="Arial"/>
                <w:sz w:val="18"/>
                <w:szCs w:val="18"/>
              </w:rPr>
              <w:t>w trakcie realizacji</w:t>
            </w:r>
          </w:p>
          <w:p w14:paraId="505CEAB2" w14:textId="6492D38A" w:rsidR="00A90257" w:rsidRPr="00A23E05" w:rsidRDefault="00A90257" w:rsidP="00894756">
            <w:pPr>
              <w:rPr>
                <w:rFonts w:ascii="Arial" w:hAnsi="Arial" w:cs="Arial"/>
                <w:sz w:val="18"/>
                <w:szCs w:val="18"/>
              </w:rPr>
            </w:pPr>
          </w:p>
        </w:tc>
      </w:tr>
      <w:tr w:rsidR="003D736C" w:rsidRPr="002B50C0" w14:paraId="53C7CEBB" w14:textId="77777777" w:rsidTr="006B5117">
        <w:tc>
          <w:tcPr>
            <w:tcW w:w="2127" w:type="dxa"/>
          </w:tcPr>
          <w:p w14:paraId="06B86DDA" w14:textId="70356362"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1 (wartość docelowa 434 szt.), 2 (wartość docelowa – 1 szt.), 3 (wartość docelowa – 6 osób), 4 ( wartość docelowa 120 osób), 5 (wartość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r w:rsidRPr="00A23E05">
              <w:rPr>
                <w:rFonts w:cs="Arial"/>
                <w:sz w:val="18"/>
                <w:szCs w:val="18"/>
              </w:rPr>
              <w:t>szt.</w:t>
            </w:r>
          </w:p>
        </w:tc>
        <w:tc>
          <w:tcPr>
            <w:tcW w:w="1842" w:type="dxa"/>
            <w:vAlign w:val="center"/>
          </w:tcPr>
          <w:p w14:paraId="07C2B665" w14:textId="1164B41F" w:rsidR="003D736C" w:rsidRPr="00A23E05" w:rsidRDefault="004E2910" w:rsidP="003C0F34">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4E2910" w:rsidRPr="00606A8E" w14:paraId="0922C950" w14:textId="77777777" w:rsidTr="003C0F34">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lastRenderedPageBreak/>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0E307B08"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005FBCC4" w14:textId="5FC370B6" w:rsidR="004E2910"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zwirtualizowane i spełniać będą przyjęte w resorcie finansów standardy oraz staną się docelowo częścią środowiska teleinformatycznego CI RF.</w:t>
            </w:r>
          </w:p>
          <w:p w14:paraId="42445F4E" w14:textId="6E002DDA"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 xml:space="preserve">Aktualny status: </w:t>
            </w:r>
            <w:r w:rsidR="00983E13">
              <w:rPr>
                <w:rFonts w:ascii="Arial" w:hAnsi="Arial" w:cs="Arial"/>
                <w:sz w:val="18"/>
                <w:szCs w:val="18"/>
              </w:rPr>
              <w:t>implementowanie</w:t>
            </w:r>
            <w:r>
              <w:rPr>
                <w:rFonts w:ascii="Arial" w:hAnsi="Arial" w:cs="Arial"/>
                <w:sz w:val="18"/>
                <w:szCs w:val="18"/>
              </w:rPr>
              <w:t>.</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(eWIT). System EUREKA w dokumentach znajdujących się w bazie EUREKA będzie posiadał linki do obecnej bazy Wiążących Informacji Taryfowych (EBTI), a docelowo do EBTI-PL2.</w:t>
            </w:r>
          </w:p>
          <w:p w14:paraId="1491CD3A" w14:textId="634C58C1" w:rsidR="00983E13" w:rsidRDefault="00983E13" w:rsidP="00983E13">
            <w:pPr>
              <w:autoSpaceDE w:val="0"/>
              <w:autoSpaceDN w:val="0"/>
              <w:adjustRightInd w:val="0"/>
              <w:rPr>
                <w:rFonts w:ascii="Arial" w:hAnsi="Arial" w:cs="Arial"/>
                <w:sz w:val="18"/>
                <w:szCs w:val="18"/>
              </w:rPr>
            </w:pPr>
            <w:r>
              <w:rPr>
                <w:rFonts w:ascii="Arial" w:hAnsi="Arial" w:cs="Arial"/>
                <w:sz w:val="18"/>
                <w:szCs w:val="18"/>
              </w:rPr>
              <w:t>Aktualny status: projektowanie</w:t>
            </w:r>
            <w:bookmarkStart w:id="1" w:name="_GoBack"/>
            <w:bookmarkEnd w:id="1"/>
          </w:p>
          <w:p w14:paraId="2FFBA096" w14:textId="77777777" w:rsidR="00983E13" w:rsidRPr="00A23E05" w:rsidRDefault="00983E13" w:rsidP="00983E13">
            <w:pPr>
              <w:autoSpaceDE w:val="0"/>
              <w:autoSpaceDN w:val="0"/>
              <w:adjustRightInd w:val="0"/>
              <w:rPr>
                <w:rFonts w:ascii="Arial" w:hAnsi="Arial" w:cs="Arial"/>
                <w:sz w:val="18"/>
                <w:szCs w:val="18"/>
              </w:rPr>
            </w:pPr>
          </w:p>
          <w:p w14:paraId="2F6D43F3" w14:textId="11BA3005"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0DD49846" w14:textId="4BCF5B71"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70F275D" w14:textId="04822A17"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 xml:space="preserve">Aktualny status: </w:t>
            </w:r>
            <w:r w:rsidR="00983E13">
              <w:rPr>
                <w:rFonts w:ascii="Arial" w:hAnsi="Arial" w:cs="Arial"/>
                <w:sz w:val="18"/>
                <w:szCs w:val="18"/>
              </w:rPr>
              <w:t>projektowanie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lastRenderedPageBreak/>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FDA525" w14:textId="7EDBB37C"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 xml:space="preserve">Aktualny status: </w:t>
            </w:r>
            <w:r w:rsidR="00983E13">
              <w:rPr>
                <w:rFonts w:ascii="Arial" w:hAnsi="Arial" w:cs="Arial"/>
                <w:sz w:val="18"/>
                <w:szCs w:val="18"/>
              </w:rPr>
              <w:t>projektowanie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Obecna wyszukiwarka SIP zasilana jest z bazy systemu informacji skarbowej SIP. W 2021 r. dane z tej bazy zostaną zmigrowane do bazy EUREKA. Po 2021 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1F70F763" w:rsidR="00A23E05" w:rsidRPr="00130B38" w:rsidRDefault="00130B38" w:rsidP="00983E13">
            <w:pPr>
              <w:autoSpaceDE w:val="0"/>
              <w:autoSpaceDN w:val="0"/>
              <w:adjustRightInd w:val="0"/>
              <w:rPr>
                <w:rFonts w:ascii="Arial" w:hAnsi="Arial" w:cs="Arial"/>
                <w:sz w:val="18"/>
                <w:szCs w:val="18"/>
              </w:rPr>
            </w:pPr>
            <w:r>
              <w:rPr>
                <w:rFonts w:ascii="Arial" w:hAnsi="Arial" w:cs="Arial"/>
                <w:sz w:val="18"/>
                <w:szCs w:val="18"/>
              </w:rPr>
              <w:t xml:space="preserve">Aktualny status: </w:t>
            </w:r>
            <w:r w:rsidR="00983E13">
              <w:rPr>
                <w:rFonts w:ascii="Arial" w:hAnsi="Arial" w:cs="Arial"/>
                <w:sz w:val="18"/>
                <w:szCs w:val="18"/>
              </w:rPr>
              <w:t>implementowanie</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pPr w:leftFromText="141" w:rightFromText="141" w:vertAnchor="text" w:tblpXSpec="right" w:tblpY="1"/>
        <w:tblOverlap w:val="never"/>
        <w:tblW w:w="9498" w:type="dxa"/>
        <w:tblLook w:val="04A0" w:firstRow="1" w:lastRow="0" w:firstColumn="1" w:lastColumn="0" w:noHBand="0" w:noVBand="1"/>
        <w:tblCaption w:val="Ryzyka wpływające na realizację projektu."/>
      </w:tblPr>
      <w:tblGrid>
        <w:gridCol w:w="3001"/>
        <w:gridCol w:w="1675"/>
        <w:gridCol w:w="2294"/>
        <w:gridCol w:w="2528"/>
      </w:tblGrid>
      <w:tr w:rsidR="00EB7C6F" w:rsidRPr="002B50C0" w14:paraId="7C4ECD4F" w14:textId="77777777" w:rsidTr="00EB7C6F">
        <w:trPr>
          <w:tblHeader/>
        </w:trPr>
        <w:tc>
          <w:tcPr>
            <w:tcW w:w="3001" w:type="dxa"/>
            <w:shd w:val="clear" w:color="auto" w:fill="D0CECE" w:themeFill="background2" w:themeFillShade="E6"/>
          </w:tcPr>
          <w:p w14:paraId="2BCBE18C" w14:textId="77777777" w:rsidR="00EB7C6F" w:rsidRPr="00141A92" w:rsidRDefault="00EB7C6F" w:rsidP="00EB7C6F">
            <w:pPr>
              <w:spacing w:before="60" w:after="60"/>
              <w:jc w:val="center"/>
              <w:rPr>
                <w:rFonts w:ascii="Arial" w:hAnsi="Arial" w:cs="Arial"/>
                <w:b/>
                <w:sz w:val="20"/>
                <w:szCs w:val="20"/>
              </w:rPr>
            </w:pPr>
            <w:r w:rsidRPr="00141A92">
              <w:rPr>
                <w:rFonts w:ascii="Arial" w:hAnsi="Arial" w:cs="Arial"/>
                <w:b/>
                <w:sz w:val="20"/>
                <w:szCs w:val="20"/>
              </w:rPr>
              <w:t>Nazwa ryzyka</w:t>
            </w:r>
          </w:p>
        </w:tc>
        <w:tc>
          <w:tcPr>
            <w:tcW w:w="1675" w:type="dxa"/>
            <w:shd w:val="clear" w:color="auto" w:fill="D0CECE" w:themeFill="background2" w:themeFillShade="E6"/>
          </w:tcPr>
          <w:p w14:paraId="47989226" w14:textId="0386DF83" w:rsidR="00EB7C6F" w:rsidRPr="00141A92" w:rsidRDefault="00EB7C6F" w:rsidP="00EB7C6F">
            <w:pPr>
              <w:widowControl w:val="0"/>
              <w:suppressAutoHyphens/>
              <w:spacing w:before="60" w:after="60"/>
              <w:jc w:val="center"/>
              <w:rPr>
                <w:rFonts w:ascii="Arial" w:hAnsi="Arial" w:cs="Arial"/>
                <w:b/>
                <w:sz w:val="20"/>
                <w:szCs w:val="20"/>
              </w:rPr>
            </w:pPr>
            <w:r w:rsidRPr="00141A92">
              <w:rPr>
                <w:rFonts w:ascii="Arial" w:hAnsi="Arial" w:cs="Arial"/>
                <w:b/>
                <w:sz w:val="20"/>
                <w:szCs w:val="20"/>
              </w:rPr>
              <w:t xml:space="preserve">Siła </w:t>
            </w:r>
            <w:r w:rsidRPr="00EB7C6F">
              <w:rPr>
                <w:rFonts w:ascii="Arial" w:eastAsia="Arial Unicode MS" w:hAnsi="Arial" w:cs="Arial"/>
                <w:b/>
                <w:bCs/>
                <w:kern w:val="1"/>
                <w:sz w:val="20"/>
                <w:szCs w:val="20"/>
              </w:rPr>
              <w:t>oddziaływania</w:t>
            </w:r>
          </w:p>
        </w:tc>
        <w:tc>
          <w:tcPr>
            <w:tcW w:w="2294" w:type="dxa"/>
            <w:shd w:val="clear" w:color="auto" w:fill="D0CECE" w:themeFill="background2" w:themeFillShade="E6"/>
          </w:tcPr>
          <w:p w14:paraId="432B90EC" w14:textId="77777777" w:rsidR="00EB7C6F" w:rsidRPr="002D7ADA" w:rsidRDefault="00EB7C6F" w:rsidP="00EB7C6F">
            <w:pPr>
              <w:spacing w:before="60" w:after="60"/>
              <w:jc w:val="center"/>
              <w:rPr>
                <w:rFonts w:ascii="Arial" w:hAnsi="Arial" w:cs="Arial"/>
                <w:b/>
                <w:sz w:val="20"/>
                <w:szCs w:val="20"/>
              </w:rPr>
            </w:pPr>
            <w:r w:rsidRPr="002D7ADA">
              <w:rPr>
                <w:rFonts w:ascii="Arial" w:hAnsi="Arial" w:cs="Arial"/>
                <w:b/>
                <w:sz w:val="20"/>
                <w:szCs w:val="20"/>
              </w:rPr>
              <w:t>Prawdopodobieństwo wystąpienia ryzyka</w:t>
            </w:r>
          </w:p>
        </w:tc>
        <w:tc>
          <w:tcPr>
            <w:tcW w:w="2528" w:type="dxa"/>
            <w:shd w:val="clear" w:color="auto" w:fill="D0CECE" w:themeFill="background2" w:themeFillShade="E6"/>
          </w:tcPr>
          <w:p w14:paraId="796394C2" w14:textId="1BE2C1D2" w:rsidR="00EB7C6F" w:rsidRPr="002D7ADA" w:rsidRDefault="00EB7C6F" w:rsidP="00EB7C6F">
            <w:pPr>
              <w:widowControl w:val="0"/>
              <w:suppressAutoHyphens/>
              <w:spacing w:before="60" w:after="60"/>
              <w:jc w:val="center"/>
              <w:rPr>
                <w:rFonts w:ascii="Arial" w:hAnsi="Arial" w:cs="Arial"/>
                <w:b/>
                <w:sz w:val="20"/>
                <w:szCs w:val="20"/>
              </w:rPr>
            </w:pPr>
            <w:r w:rsidRPr="002D7ADA">
              <w:rPr>
                <w:rFonts w:ascii="Arial" w:hAnsi="Arial" w:cs="Arial"/>
                <w:b/>
                <w:sz w:val="20"/>
                <w:szCs w:val="20"/>
              </w:rPr>
              <w:t xml:space="preserve">Sposób </w:t>
            </w:r>
            <w:r w:rsidRPr="00EB7C6F">
              <w:rPr>
                <w:rFonts w:ascii="Arial" w:eastAsia="Arial Unicode MS" w:hAnsi="Arial" w:cs="Arial"/>
                <w:b/>
                <w:bCs/>
                <w:kern w:val="1"/>
                <w:sz w:val="20"/>
                <w:szCs w:val="20"/>
              </w:rPr>
              <w:t>zarzadzania</w:t>
            </w:r>
            <w:r w:rsidRPr="002D7ADA">
              <w:rPr>
                <w:rFonts w:ascii="Arial" w:hAnsi="Arial" w:cs="Arial"/>
                <w:b/>
                <w:sz w:val="20"/>
                <w:szCs w:val="20"/>
              </w:rPr>
              <w:t xml:space="preserve"> ryzykiem</w:t>
            </w:r>
          </w:p>
        </w:tc>
      </w:tr>
      <w:tr w:rsidR="00EB7C6F" w:rsidRPr="002B50C0" w14:paraId="3430A6E0" w14:textId="77777777" w:rsidTr="00EB7C6F">
        <w:tc>
          <w:tcPr>
            <w:tcW w:w="3001" w:type="dxa"/>
          </w:tcPr>
          <w:p w14:paraId="76275332" w14:textId="77777777" w:rsidR="00EB7C6F" w:rsidRPr="00A23E05" w:rsidRDefault="00EB7C6F" w:rsidP="00EB7C6F">
            <w:pPr>
              <w:spacing w:before="60" w:after="60"/>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75" w:type="dxa"/>
          </w:tcPr>
          <w:p w14:paraId="5DAF9CF9" w14:textId="77777777" w:rsidR="00EB7C6F" w:rsidRPr="00A23E05" w:rsidRDefault="00EB7C6F" w:rsidP="00EB7C6F">
            <w:pPr>
              <w:spacing w:before="60" w:after="60"/>
              <w:jc w:val="center"/>
              <w:rPr>
                <w:rFonts w:ascii="Arial" w:hAnsi="Arial" w:cs="Arial"/>
                <w:color w:val="0070C0"/>
                <w:sz w:val="18"/>
                <w:szCs w:val="18"/>
              </w:rPr>
            </w:pPr>
            <w:r w:rsidRPr="00A23E05">
              <w:rPr>
                <w:rFonts w:ascii="Arial" w:eastAsia="Times New Roman" w:hAnsi="Arial" w:cs="Arial"/>
                <w:sz w:val="18"/>
                <w:szCs w:val="18"/>
              </w:rPr>
              <w:t>duża</w:t>
            </w:r>
          </w:p>
        </w:tc>
        <w:tc>
          <w:tcPr>
            <w:tcW w:w="2294" w:type="dxa"/>
          </w:tcPr>
          <w:p w14:paraId="3525E761" w14:textId="77777777" w:rsidR="00EB7C6F" w:rsidRPr="00A23E05" w:rsidRDefault="00EB7C6F" w:rsidP="00EB7C6F">
            <w:pPr>
              <w:spacing w:before="60" w:after="60"/>
              <w:jc w:val="center"/>
              <w:rPr>
                <w:rFonts w:ascii="Arial" w:hAnsi="Arial" w:cs="Arial"/>
                <w:color w:val="0070C0"/>
                <w:sz w:val="18"/>
                <w:szCs w:val="18"/>
              </w:rPr>
            </w:pPr>
            <w:r w:rsidRPr="00A23E05">
              <w:rPr>
                <w:rFonts w:ascii="Arial" w:eastAsia="Times New Roman" w:hAnsi="Arial" w:cs="Arial"/>
                <w:sz w:val="18"/>
                <w:szCs w:val="18"/>
              </w:rPr>
              <w:t>średnie</w:t>
            </w:r>
          </w:p>
        </w:tc>
        <w:tc>
          <w:tcPr>
            <w:tcW w:w="2528" w:type="dxa"/>
          </w:tcPr>
          <w:p w14:paraId="0A2A55CC" w14:textId="77777777" w:rsidR="00EB7C6F" w:rsidRDefault="00EB7C6F" w:rsidP="00EB7C6F">
            <w:pPr>
              <w:spacing w:before="60" w:after="60"/>
              <w:rPr>
                <w:rFonts w:ascii="Arial" w:hAnsi="Arial" w:cs="Arial"/>
                <w:sz w:val="18"/>
                <w:szCs w:val="18"/>
              </w:rPr>
            </w:pPr>
            <w:r w:rsidRPr="00A23E05">
              <w:rPr>
                <w:rFonts w:ascii="Arial" w:hAnsi="Arial" w:cs="Arial"/>
                <w:sz w:val="18"/>
                <w:szCs w:val="18"/>
              </w:rPr>
              <w:t>Powołanie dedykowanego projektowi EUREKA zespołu projektowego oraz Komitetu Sterującego z przypisanymi  zadaniami i zakresami odpowiedzialności.</w:t>
            </w:r>
          </w:p>
          <w:p w14:paraId="152A399F" w14:textId="77777777" w:rsidR="00EB7C6F" w:rsidRPr="00764D51" w:rsidRDefault="00EB7C6F" w:rsidP="00EB7C6F">
            <w:pPr>
              <w:spacing w:before="60" w:after="60"/>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0FF13952" w14:textId="70C2262D" w:rsidR="00EB7C6F" w:rsidRPr="00A23E05" w:rsidRDefault="00EB7C6F" w:rsidP="00EB7C6F">
            <w:pPr>
              <w:spacing w:before="60" w:after="60"/>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r w:rsidR="00EB7C6F" w:rsidRPr="002B50C0" w14:paraId="0E6D9969" w14:textId="77777777" w:rsidTr="00EB7C6F">
        <w:tc>
          <w:tcPr>
            <w:tcW w:w="3001" w:type="dxa"/>
          </w:tcPr>
          <w:p w14:paraId="497EC008"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t>Ryzyko awarii spowodowane błędami dostawców (np. programistów) niewykrytymi w trakcie testowania (luki bezpieczeństwa, ukryte błędy, niska wydajność aplikacji), co może wpłynąć na dostępność i bezpieczeństwo danych przechowywanych przez system</w:t>
            </w:r>
          </w:p>
        </w:tc>
        <w:tc>
          <w:tcPr>
            <w:tcW w:w="1675" w:type="dxa"/>
          </w:tcPr>
          <w:p w14:paraId="1E99D8E3"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0F22381C"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2ECF5421"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systemu.</w:t>
            </w:r>
            <w:r w:rsidRPr="00914174">
              <w:rPr>
                <w:rFonts w:ascii="Arial" w:hAnsi="Arial" w:cs="Arial"/>
                <w:sz w:val="18"/>
                <w:szCs w:val="18"/>
              </w:rPr>
              <w:br/>
            </w:r>
            <w:r w:rsidRPr="00914174">
              <w:rPr>
                <w:rFonts w:ascii="Arial" w:hAnsi="Arial" w:cs="Arial"/>
                <w:sz w:val="18"/>
                <w:szCs w:val="18"/>
              </w:rPr>
              <w:lastRenderedPageBreak/>
              <w:t>Zaplanowanie testów bezpieczeństwa.</w:t>
            </w:r>
          </w:p>
          <w:p w14:paraId="11A15F99" w14:textId="2C1F9629" w:rsidR="00DB0E63" w:rsidRDefault="00DB0E63" w:rsidP="00EB7C6F">
            <w:pPr>
              <w:spacing w:before="60" w:after="60"/>
              <w:rPr>
                <w:rFonts w:ascii="Arial" w:hAnsi="Arial" w:cs="Arial"/>
                <w:sz w:val="18"/>
                <w:szCs w:val="18"/>
              </w:rPr>
            </w:pPr>
            <w:r w:rsidRPr="00764D51">
              <w:rPr>
                <w:rFonts w:ascii="Arial" w:hAnsi="Arial" w:cs="Arial"/>
                <w:sz w:val="18"/>
                <w:szCs w:val="18"/>
              </w:rPr>
              <w:t xml:space="preserve">Efektem </w:t>
            </w:r>
            <w:r>
              <w:rPr>
                <w:rFonts w:ascii="Arial" w:hAnsi="Arial" w:cs="Arial"/>
                <w:sz w:val="18"/>
                <w:szCs w:val="18"/>
              </w:rPr>
              <w:t>będzie wychwycenie możliwie największej ilości błędów w systemie.</w:t>
            </w:r>
          </w:p>
          <w:p w14:paraId="62DB342D" w14:textId="0F401DA4" w:rsidR="00EB7C6F" w:rsidRPr="00A23E05"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FF7E52C" w14:textId="77777777" w:rsidTr="00EB7C6F">
        <w:tc>
          <w:tcPr>
            <w:tcW w:w="3001" w:type="dxa"/>
          </w:tcPr>
          <w:p w14:paraId="1DA31CAD"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lastRenderedPageBreak/>
              <w:t>Problemy z uzgodnieniem wymagań funkcjonalnych, wynikające z niedostatecznej współpracy przyszłych użytkowników</w:t>
            </w:r>
          </w:p>
        </w:tc>
        <w:tc>
          <w:tcPr>
            <w:tcW w:w="1675" w:type="dxa"/>
          </w:tcPr>
          <w:p w14:paraId="158FCFEC"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4928579E" w14:textId="7838F338" w:rsidR="00EB7C6F" w:rsidRPr="00A23E05" w:rsidRDefault="00014058" w:rsidP="00014058">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2BB61BCC"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Włączenie reprezentatywnych przedstawicieli użytkowników końcowych w procesy ustalania wymagań, testowania i odbioru systemu.</w:t>
            </w:r>
          </w:p>
          <w:p w14:paraId="7D53F570" w14:textId="56C9A982" w:rsidR="00DB0E63" w:rsidRDefault="00DB0E63" w:rsidP="00EB7C6F">
            <w:pPr>
              <w:spacing w:before="60" w:after="60"/>
              <w:rPr>
                <w:rFonts w:ascii="Arial" w:eastAsia="Times New Roman" w:hAnsi="Arial" w:cs="Arial"/>
                <w:sz w:val="18"/>
                <w:szCs w:val="18"/>
              </w:rPr>
            </w:pPr>
            <w:r>
              <w:rPr>
                <w:rFonts w:ascii="Arial" w:eastAsia="Times New Roman" w:hAnsi="Arial" w:cs="Arial"/>
                <w:sz w:val="18"/>
                <w:szCs w:val="18"/>
              </w:rPr>
              <w:t>Efektem będzie uzgodnienie wszystkich niezbędnych wymagań funkcjonalnych.</w:t>
            </w:r>
          </w:p>
          <w:p w14:paraId="04551AF5" w14:textId="7AB55613" w:rsidR="00EB7C6F" w:rsidRPr="00A23E05" w:rsidRDefault="00014058"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250C4C45" w14:textId="77777777" w:rsidTr="00EB7C6F">
        <w:tc>
          <w:tcPr>
            <w:tcW w:w="3001" w:type="dxa"/>
          </w:tcPr>
          <w:p w14:paraId="741F9D5A"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t>Problemy z wykonaniem systemów przez firmy wybrane do ich realizacji (opóźnienia, brak możliwości technicznych lub organizacyjnych do realizacji zamówienia)</w:t>
            </w:r>
          </w:p>
        </w:tc>
        <w:tc>
          <w:tcPr>
            <w:tcW w:w="1675" w:type="dxa"/>
          </w:tcPr>
          <w:p w14:paraId="7BE473C3"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0639F99A"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792942DD"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Wybór dostawców o odpowiednim do skali projektu doświadczeniu i potencjale technicznym; monitorowanie na bieżąco postępów prac po stronie dostawców, zarówno usług, jak i sprzętu.</w:t>
            </w:r>
          </w:p>
          <w:p w14:paraId="1178BFC3" w14:textId="0231C9EB" w:rsidR="00DB0E63" w:rsidRDefault="00DB0E63" w:rsidP="00EB7C6F">
            <w:pPr>
              <w:spacing w:before="60" w:after="60"/>
              <w:rPr>
                <w:rFonts w:ascii="Arial" w:hAnsi="Arial" w:cs="Arial"/>
                <w:sz w:val="18"/>
                <w:szCs w:val="18"/>
              </w:rPr>
            </w:pPr>
            <w:r>
              <w:rPr>
                <w:rFonts w:ascii="Arial" w:hAnsi="Arial" w:cs="Arial"/>
                <w:sz w:val="18"/>
                <w:szCs w:val="18"/>
              </w:rPr>
              <w:t>Efektem będzie bieżąca współpraca z Wykonawca systemu i szybkie reagowanie na ewentualne problemy.</w:t>
            </w:r>
          </w:p>
          <w:p w14:paraId="3EF701C9" w14:textId="2DF56C66" w:rsidR="00EB7C6F" w:rsidRPr="00A23E05" w:rsidRDefault="00014058" w:rsidP="00EB7C6F">
            <w:pPr>
              <w:spacing w:before="60" w:after="60"/>
              <w:rPr>
                <w:rFonts w:ascii="Arial" w:hAnsi="Arial" w:cs="Arial"/>
                <w:sz w:val="18"/>
                <w:szCs w:val="18"/>
              </w:rPr>
            </w:pPr>
            <w:r w:rsidRPr="00014058">
              <w:rPr>
                <w:rFonts w:ascii="Arial" w:eastAsia="Times New Roman" w:hAnsi="Arial" w:cs="Arial"/>
                <w:sz w:val="18"/>
                <w:szCs w:val="18"/>
              </w:rPr>
              <w:t>Ocena ryzyka  pozostaje na niezmienionym poziomie.</w:t>
            </w:r>
          </w:p>
        </w:tc>
      </w:tr>
      <w:tr w:rsidR="00EB7C6F" w:rsidRPr="002B50C0" w14:paraId="30B616F6" w14:textId="77777777" w:rsidTr="00EB7C6F">
        <w:tc>
          <w:tcPr>
            <w:tcW w:w="3001" w:type="dxa"/>
          </w:tcPr>
          <w:p w14:paraId="63D6BB25"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związane jest z synchronizacją dostawy poszczególnych składników systemu (infrastruktura, oprogramowanie, wdrożenie).</w:t>
            </w:r>
          </w:p>
        </w:tc>
        <w:tc>
          <w:tcPr>
            <w:tcW w:w="1675" w:type="dxa"/>
          </w:tcPr>
          <w:p w14:paraId="3FD6709B"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20AAAEF2"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4F063C13"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Zaplanowanie zamówień i dostaw w sposób zapewniający ich synchronizację. Podjęcie standardowych działań zarządczych zgodnie z powszechnie znanymi metodykami ( Prince 2)</w:t>
            </w:r>
            <w:r>
              <w:rPr>
                <w:rFonts w:ascii="Arial" w:hAnsi="Arial" w:cs="Arial"/>
                <w:sz w:val="18"/>
                <w:szCs w:val="18"/>
              </w:rPr>
              <w:t>.</w:t>
            </w:r>
          </w:p>
          <w:p w14:paraId="4B1BE714" w14:textId="004549DE" w:rsidR="00DB0E63" w:rsidRDefault="00DB0E63" w:rsidP="00EB7C6F">
            <w:pPr>
              <w:spacing w:before="60" w:after="60"/>
              <w:rPr>
                <w:rFonts w:ascii="Arial" w:hAnsi="Arial" w:cs="Arial"/>
                <w:sz w:val="18"/>
                <w:szCs w:val="18"/>
              </w:rPr>
            </w:pPr>
            <w:r>
              <w:rPr>
                <w:rFonts w:ascii="Arial" w:hAnsi="Arial" w:cs="Arial"/>
                <w:sz w:val="18"/>
                <w:szCs w:val="18"/>
              </w:rPr>
              <w:t>Efektem będzie dostawa poszczególnych składników systemu w terminach pozwalających na terminowe wdrożenie systemu.</w:t>
            </w:r>
          </w:p>
          <w:p w14:paraId="3D3B8DA7" w14:textId="159495BA" w:rsidR="00EB7C6F" w:rsidRPr="00914174" w:rsidRDefault="00014058" w:rsidP="00EB7C6F">
            <w:pPr>
              <w:spacing w:before="60" w:after="60"/>
              <w:rPr>
                <w:rFonts w:ascii="Arial" w:hAnsi="Arial" w:cs="Arial"/>
                <w:sz w:val="18"/>
                <w:szCs w:val="18"/>
              </w:rPr>
            </w:pPr>
            <w:r w:rsidRPr="00014058">
              <w:rPr>
                <w:rFonts w:ascii="Arial" w:eastAsia="Times New Roman" w:hAnsi="Arial" w:cs="Arial"/>
                <w:sz w:val="18"/>
                <w:szCs w:val="18"/>
              </w:rPr>
              <w:t>Ocena ryzyka  pozostaje na niezmienionym poziomie.</w:t>
            </w:r>
          </w:p>
        </w:tc>
      </w:tr>
      <w:tr w:rsidR="00EB7C6F" w:rsidRPr="002B50C0" w14:paraId="3EAA7479" w14:textId="77777777" w:rsidTr="00EB7C6F">
        <w:tc>
          <w:tcPr>
            <w:tcW w:w="3001" w:type="dxa"/>
          </w:tcPr>
          <w:p w14:paraId="549BA64B"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wydłużenia czasu realizacji Projektu związanego z prowadzeniem postępowań przetargowych (protesty i odwołania składane przez Wykonawców) jak również opóźnienia w procesie oceny ofert i wyboru wykonawcy mogą skutkować, przekroczeniem zakładanych terminów na przygotowanie i realizację przetargów</w:t>
            </w:r>
          </w:p>
        </w:tc>
        <w:tc>
          <w:tcPr>
            <w:tcW w:w="1675" w:type="dxa"/>
          </w:tcPr>
          <w:p w14:paraId="72477DA9"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3BACA43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średnie</w:t>
            </w:r>
          </w:p>
        </w:tc>
        <w:tc>
          <w:tcPr>
            <w:tcW w:w="2528" w:type="dxa"/>
          </w:tcPr>
          <w:p w14:paraId="6925D56F"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Planowanie odpowiednich rezerw czasowych dla postępowań przetargowych. Opracowywanie dokumentacji przetargowych, które minimalizować będą liczbę protestów i odwołań.</w:t>
            </w:r>
          </w:p>
          <w:p w14:paraId="7D2F7E9F" w14:textId="225A6CAE" w:rsidR="00DB0E63" w:rsidRDefault="00DB0E63" w:rsidP="00EB7C6F">
            <w:pPr>
              <w:spacing w:before="60" w:after="60"/>
              <w:rPr>
                <w:rFonts w:ascii="Arial" w:hAnsi="Arial" w:cs="Arial"/>
                <w:sz w:val="18"/>
                <w:szCs w:val="18"/>
              </w:rPr>
            </w:pPr>
            <w:r>
              <w:rPr>
                <w:rFonts w:ascii="Arial" w:hAnsi="Arial" w:cs="Arial"/>
                <w:sz w:val="18"/>
                <w:szCs w:val="18"/>
              </w:rPr>
              <w:t>Efektem jest realizacja projektu w sposób zapewniający wdrożenie systemu w zaplanowanym terminie.</w:t>
            </w:r>
          </w:p>
          <w:p w14:paraId="6B79E747" w14:textId="07FCD94F" w:rsidR="00EB7C6F" w:rsidRPr="00914174" w:rsidRDefault="00EB7C6F" w:rsidP="00EB7C6F">
            <w:pPr>
              <w:spacing w:before="60" w:after="60"/>
              <w:rPr>
                <w:rFonts w:ascii="Arial" w:hAnsi="Arial" w:cs="Arial"/>
                <w:sz w:val="18"/>
                <w:szCs w:val="18"/>
              </w:rPr>
            </w:pPr>
            <w:r>
              <w:rPr>
                <w:rFonts w:ascii="Arial" w:hAnsi="Arial" w:cs="Arial"/>
                <w:sz w:val="18"/>
                <w:szCs w:val="18"/>
              </w:rPr>
              <w:t xml:space="preserve">Z uwagi na zakończenie postępowań przetargowych nastąpiła </w:t>
            </w:r>
            <w:r w:rsidRPr="00E82429">
              <w:rPr>
                <w:rFonts w:ascii="Arial" w:hAnsi="Arial" w:cs="Arial"/>
                <w:sz w:val="18"/>
                <w:szCs w:val="18"/>
              </w:rPr>
              <w:t xml:space="preserve">zmiana w zakresie danego ryzyka w stosunku do po-przedniego okresu </w:t>
            </w:r>
            <w:r w:rsidRPr="00E82429">
              <w:rPr>
                <w:rFonts w:ascii="Arial" w:hAnsi="Arial" w:cs="Arial"/>
                <w:sz w:val="18"/>
                <w:szCs w:val="18"/>
              </w:rPr>
              <w:lastRenderedPageBreak/>
              <w:t>sprawozdawczego - „ryzyko zamknięte”</w:t>
            </w:r>
          </w:p>
        </w:tc>
      </w:tr>
      <w:tr w:rsidR="00EB7C6F" w:rsidRPr="002B50C0" w14:paraId="72DF7B1D" w14:textId="77777777" w:rsidTr="00EB7C6F">
        <w:tc>
          <w:tcPr>
            <w:tcW w:w="3001" w:type="dxa"/>
          </w:tcPr>
          <w:p w14:paraId="2C430C2B"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Przedłużające się terminy przekazania systemu użytkownikom.</w:t>
            </w:r>
          </w:p>
        </w:tc>
        <w:tc>
          <w:tcPr>
            <w:tcW w:w="1675" w:type="dxa"/>
          </w:tcPr>
          <w:p w14:paraId="233688AB"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7E25C0B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095E2577"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Wysoka jakość nadzoru na realizacją projektu. Wykonalność projektu i harmonogramu wdrożenia</w:t>
            </w:r>
          </w:p>
          <w:p w14:paraId="02080ADC" w14:textId="4D2110BC" w:rsidR="00DB0E63" w:rsidRDefault="00DB0E63" w:rsidP="00FE2B73">
            <w:pPr>
              <w:spacing w:before="60" w:after="60"/>
              <w:rPr>
                <w:rFonts w:ascii="Arial" w:hAnsi="Arial" w:cs="Arial"/>
                <w:sz w:val="18"/>
                <w:szCs w:val="18"/>
              </w:rPr>
            </w:pPr>
            <w:r>
              <w:rPr>
                <w:rFonts w:ascii="Arial" w:hAnsi="Arial" w:cs="Arial"/>
                <w:sz w:val="18"/>
                <w:szCs w:val="18"/>
              </w:rPr>
              <w:t>Efektem będzie realizacja projektu w sposób zapewniający wdrożenie systemu w zaplanowanym terminie.</w:t>
            </w:r>
          </w:p>
          <w:p w14:paraId="7BCFEDB7" w14:textId="0303D839"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C29DBDF" w14:textId="77777777" w:rsidTr="00EB7C6F">
        <w:tc>
          <w:tcPr>
            <w:tcW w:w="3001" w:type="dxa"/>
          </w:tcPr>
          <w:p w14:paraId="02830EA3"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Stosunkowo duży zakres zadań przy ograniczonym czasie realizacji.</w:t>
            </w:r>
          </w:p>
        </w:tc>
        <w:tc>
          <w:tcPr>
            <w:tcW w:w="1675" w:type="dxa"/>
          </w:tcPr>
          <w:p w14:paraId="78D52381"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23C01716"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średnie</w:t>
            </w:r>
          </w:p>
        </w:tc>
        <w:tc>
          <w:tcPr>
            <w:tcW w:w="2528" w:type="dxa"/>
          </w:tcPr>
          <w:p w14:paraId="1B425DEB"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Precyzyjny harmonogram</w:t>
            </w:r>
          </w:p>
          <w:p w14:paraId="5C19B951"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Wyznaczenie częstych punktów kontrolnych</w:t>
            </w:r>
          </w:p>
          <w:p w14:paraId="61E73410"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Przeprowadzenie części prac analitycznych przez Doradcę</w:t>
            </w:r>
          </w:p>
          <w:p w14:paraId="7DC52945"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Wybór technologii zorientowanej na budowę z istniejących komponentów.</w:t>
            </w:r>
          </w:p>
          <w:p w14:paraId="372B0CE6" w14:textId="7930FBA6" w:rsidR="00DB0E63" w:rsidRPr="00FE2B73" w:rsidRDefault="00DB0E63" w:rsidP="00FE2B73">
            <w:pPr>
              <w:spacing w:before="60" w:after="60"/>
              <w:rPr>
                <w:rFonts w:ascii="Arial" w:eastAsia="Times New Roman" w:hAnsi="Arial" w:cs="Arial"/>
                <w:sz w:val="18"/>
                <w:szCs w:val="18"/>
              </w:rPr>
            </w:pPr>
            <w:r w:rsidRPr="00FE2B73">
              <w:rPr>
                <w:rFonts w:ascii="Arial" w:eastAsia="Times New Roman" w:hAnsi="Arial" w:cs="Arial"/>
                <w:sz w:val="18"/>
                <w:szCs w:val="18"/>
              </w:rPr>
              <w:t xml:space="preserve">Efektem będzie </w:t>
            </w:r>
            <w:r w:rsidR="00CB7C39" w:rsidRPr="00FE2B73">
              <w:rPr>
                <w:rFonts w:ascii="Arial" w:eastAsia="Times New Roman" w:hAnsi="Arial" w:cs="Arial"/>
                <w:sz w:val="18"/>
                <w:szCs w:val="18"/>
              </w:rPr>
              <w:t>efektywne wykorzystanie posiadanych zasobów ludzkich.</w:t>
            </w:r>
          </w:p>
          <w:p w14:paraId="0FCD25A5" w14:textId="1BF60C89" w:rsidR="00EB7C6F" w:rsidRPr="00E82429" w:rsidRDefault="00EB7C6F" w:rsidP="00EB7C6F">
            <w:pPr>
              <w:spacing w:before="60" w:after="60"/>
              <w:rPr>
                <w:rFonts w:ascii="Arial" w:hAnsi="Arial" w:cs="Arial"/>
                <w:sz w:val="18"/>
                <w:szCs w:val="18"/>
              </w:rPr>
            </w:pPr>
            <w:r w:rsidRPr="00E82429">
              <w:rPr>
                <w:rFonts w:ascii="Arial" w:eastAsia="Times New Roman" w:hAnsi="Arial" w:cs="Arial"/>
                <w:sz w:val="18"/>
                <w:szCs w:val="18"/>
              </w:rPr>
              <w:t>Ocena ryzyka  pozostaje na niezmienionym poziomie.</w:t>
            </w:r>
          </w:p>
        </w:tc>
      </w:tr>
      <w:tr w:rsidR="00EB7C6F" w:rsidRPr="002B50C0" w14:paraId="0B0BC569" w14:textId="77777777" w:rsidTr="00EB7C6F">
        <w:tc>
          <w:tcPr>
            <w:tcW w:w="3001" w:type="dxa"/>
          </w:tcPr>
          <w:p w14:paraId="7CE4C4F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zmian w zakresie funkcjonalności systemu, wymaganych w związku z wdrażanie nowych wymogów prawnych, co może skutkować zmianą zakresu systemu w trakcie realizacji Projektu a przez to prowadzić do opóźnień w jego realizacji</w:t>
            </w:r>
          </w:p>
        </w:tc>
        <w:tc>
          <w:tcPr>
            <w:tcW w:w="1675" w:type="dxa"/>
          </w:tcPr>
          <w:p w14:paraId="6F641D9A"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6ED084DE"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50863674" w14:textId="2C3D4EC1"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W razie potrzeby - uwzględnienie potrzeb związanych z przyszłym rozszerzeniem funkcjonalności w specyfikacji wymagań oraz/lub odnotowanie w umowie z Wykonawcą zobowiązania </w:t>
            </w:r>
            <w:r w:rsidR="00CB7C39">
              <w:rPr>
                <w:rFonts w:ascii="Arial" w:hAnsi="Arial" w:cs="Arial"/>
                <w:sz w:val="18"/>
                <w:szCs w:val="18"/>
              </w:rPr>
              <w:t>d</w:t>
            </w:r>
            <w:r w:rsidRPr="00914174">
              <w:rPr>
                <w:rFonts w:ascii="Arial" w:hAnsi="Arial" w:cs="Arial"/>
                <w:sz w:val="18"/>
                <w:szCs w:val="18"/>
              </w:rPr>
              <w:t>o wprowadzeni</w:t>
            </w:r>
            <w:r w:rsidR="00CB7C39">
              <w:rPr>
                <w:rFonts w:ascii="Arial" w:hAnsi="Arial" w:cs="Arial"/>
                <w:sz w:val="18"/>
                <w:szCs w:val="18"/>
              </w:rPr>
              <w:t>a</w:t>
            </w:r>
            <w:r w:rsidRPr="00914174">
              <w:rPr>
                <w:rFonts w:ascii="Arial" w:hAnsi="Arial" w:cs="Arial"/>
                <w:sz w:val="18"/>
                <w:szCs w:val="18"/>
              </w:rPr>
              <w:t xml:space="preserve"> zmian (zgodnie z procedurą zarządzania zmianą) wynikającej z nowych wymogów prawnych</w:t>
            </w:r>
            <w:r w:rsidR="00CB7C39">
              <w:rPr>
                <w:rFonts w:ascii="Arial" w:hAnsi="Arial" w:cs="Arial"/>
                <w:sz w:val="18"/>
                <w:szCs w:val="18"/>
              </w:rPr>
              <w:t xml:space="preserve"> oraz wykorzystania prawa opcji.</w:t>
            </w:r>
            <w:r>
              <w:rPr>
                <w:rFonts w:ascii="Arial" w:hAnsi="Arial" w:cs="Arial"/>
                <w:sz w:val="18"/>
                <w:szCs w:val="18"/>
              </w:rPr>
              <w:t>.</w:t>
            </w:r>
          </w:p>
          <w:p w14:paraId="02526F1E" w14:textId="5EA1E112" w:rsidR="00CB7C39" w:rsidRDefault="00CB7C39" w:rsidP="00EB7C6F">
            <w:pPr>
              <w:spacing w:before="60" w:after="60"/>
              <w:rPr>
                <w:rFonts w:ascii="Arial" w:hAnsi="Arial" w:cs="Arial"/>
                <w:sz w:val="18"/>
                <w:szCs w:val="18"/>
              </w:rPr>
            </w:pPr>
            <w:r>
              <w:rPr>
                <w:rFonts w:ascii="Arial" w:hAnsi="Arial" w:cs="Arial"/>
                <w:sz w:val="18"/>
                <w:szCs w:val="18"/>
              </w:rPr>
              <w:t>Efektem będzie możliwość zmian w systemie w sposób zapewniający ich wdrożenie bez opóźniania terminu wdrożenia systemu w jego pierwotnej wersji.</w:t>
            </w:r>
          </w:p>
          <w:p w14:paraId="47E3D915" w14:textId="68322F3A"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3BAF28A9" w14:textId="77777777" w:rsidTr="00EB7C6F">
        <w:tc>
          <w:tcPr>
            <w:tcW w:w="3001" w:type="dxa"/>
          </w:tcPr>
          <w:p w14:paraId="5DA10B42"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braku zabezpieczenia wystarczających środków na realizację projektu - czy to z perspektywy finansowej 2014-2020 czy też ze środków budżetowych</w:t>
            </w:r>
          </w:p>
        </w:tc>
        <w:tc>
          <w:tcPr>
            <w:tcW w:w="1675" w:type="dxa"/>
          </w:tcPr>
          <w:p w14:paraId="0639D313"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7363292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3E2FF380" w14:textId="3BD46FF8" w:rsidR="00EB7C6F" w:rsidRDefault="00CB7C39" w:rsidP="00EB7C6F">
            <w:pPr>
              <w:spacing w:before="60" w:after="60"/>
              <w:rPr>
                <w:rFonts w:ascii="Arial" w:hAnsi="Arial" w:cs="Arial"/>
                <w:sz w:val="18"/>
                <w:szCs w:val="18"/>
              </w:rPr>
            </w:pPr>
            <w:r>
              <w:rPr>
                <w:rFonts w:ascii="Arial" w:hAnsi="Arial" w:cs="Arial"/>
                <w:sz w:val="18"/>
                <w:szCs w:val="18"/>
              </w:rPr>
              <w:t>Systematyczne planowanie środków w projektach budżetu na kolejne lata realizacji projektu.</w:t>
            </w:r>
          </w:p>
          <w:p w14:paraId="78A76755" w14:textId="1DB80FA9" w:rsidR="00CB7C39" w:rsidRDefault="00CB7C39" w:rsidP="00EB7C6F">
            <w:pPr>
              <w:spacing w:before="60" w:after="60"/>
              <w:rPr>
                <w:rFonts w:ascii="Arial" w:hAnsi="Arial" w:cs="Arial"/>
                <w:sz w:val="18"/>
                <w:szCs w:val="18"/>
              </w:rPr>
            </w:pPr>
            <w:r>
              <w:rPr>
                <w:rFonts w:ascii="Arial" w:hAnsi="Arial" w:cs="Arial"/>
                <w:sz w:val="18"/>
                <w:szCs w:val="18"/>
              </w:rPr>
              <w:t>Efektem jest pełne zabezpieczenie środków finansowych na realizację projektu.</w:t>
            </w:r>
          </w:p>
          <w:p w14:paraId="509D400E" w14:textId="6C978942"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C55BC3B" w14:textId="77777777" w:rsidTr="00EB7C6F">
        <w:tc>
          <w:tcPr>
            <w:tcW w:w="3001" w:type="dxa"/>
          </w:tcPr>
          <w:p w14:paraId="49B7B17D"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 xml:space="preserve">Ryzyko zmian rynkowych związanych ze zmianami cen usług podczas realizacji Projektu, które </w:t>
            </w:r>
            <w:r w:rsidRPr="00914174">
              <w:rPr>
                <w:rFonts w:ascii="Arial" w:hAnsi="Arial" w:cs="Arial"/>
                <w:sz w:val="18"/>
                <w:szCs w:val="18"/>
              </w:rPr>
              <w:lastRenderedPageBreak/>
              <w:t>mogą wpłynąć na koszt realizacji Projektu między innymi wzrost kosztów usług obcych, wzrost kosztów materiałów i energii, przekroczenie kosztów inwestycyjnych, wzrost wynagrodzeń, zmiana kursu walut itp.</w:t>
            </w:r>
          </w:p>
        </w:tc>
        <w:tc>
          <w:tcPr>
            <w:tcW w:w="1675" w:type="dxa"/>
          </w:tcPr>
          <w:p w14:paraId="2720D6F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lastRenderedPageBreak/>
              <w:t>mała</w:t>
            </w:r>
          </w:p>
        </w:tc>
        <w:tc>
          <w:tcPr>
            <w:tcW w:w="2294" w:type="dxa"/>
          </w:tcPr>
          <w:p w14:paraId="31E27674"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57E6FBA2" w14:textId="342FA22F"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Dogłębna analiza związana z wszelkimi aspektami budowy i wdrożenia systemu. </w:t>
            </w:r>
            <w:r w:rsidRPr="00914174">
              <w:rPr>
                <w:rFonts w:ascii="Arial" w:hAnsi="Arial" w:cs="Arial"/>
                <w:sz w:val="18"/>
                <w:szCs w:val="18"/>
              </w:rPr>
              <w:lastRenderedPageBreak/>
              <w:t>Ciągłe monitorowanie trendów rynkowych. Zabezpieczenie odpowiednich rezerw finansowych</w:t>
            </w:r>
            <w:r w:rsidR="00CB7C39">
              <w:rPr>
                <w:rFonts w:ascii="Arial" w:hAnsi="Arial" w:cs="Arial"/>
                <w:sz w:val="18"/>
                <w:szCs w:val="18"/>
              </w:rPr>
              <w:t>.</w:t>
            </w:r>
          </w:p>
          <w:p w14:paraId="5E566A0F" w14:textId="61B54711" w:rsidR="00CB7C39" w:rsidRDefault="00CB7C39" w:rsidP="00EB7C6F">
            <w:pPr>
              <w:spacing w:before="60" w:after="60"/>
              <w:rPr>
                <w:rFonts w:ascii="Arial" w:hAnsi="Arial" w:cs="Arial"/>
                <w:sz w:val="18"/>
                <w:szCs w:val="18"/>
              </w:rPr>
            </w:pPr>
            <w:r>
              <w:rPr>
                <w:rFonts w:ascii="Arial" w:hAnsi="Arial" w:cs="Arial"/>
                <w:sz w:val="18"/>
                <w:szCs w:val="18"/>
              </w:rPr>
              <w:t>Efektem będzie odpowiednio wczesne zidentyfikowanie ryzyka i wdrożenie środków zaradczych.</w:t>
            </w:r>
          </w:p>
          <w:p w14:paraId="5350583B" w14:textId="3119D82F"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16995729" w14:textId="77777777" w:rsidTr="00EB7C6F">
        <w:tc>
          <w:tcPr>
            <w:tcW w:w="3001" w:type="dxa"/>
          </w:tcPr>
          <w:p w14:paraId="1022F363"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Ryzyko braku odpowiednich zasobów ludzkich po stronie Beneficjenta do nadzorowania i koordynowania przebiegu Projektu</w:t>
            </w:r>
          </w:p>
        </w:tc>
        <w:tc>
          <w:tcPr>
            <w:tcW w:w="1675" w:type="dxa"/>
          </w:tcPr>
          <w:p w14:paraId="27DFC92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4F357D44"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52138334"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Przydzielenie odpowiednich zasobów ludzkich do działań projektowych lub zapewnienie wsparcia przez zewnętrznych specjalistów. Odpowiednie pełnomocnictwa/uprawnienia dla Kierownika Projektu, pozwalające egzekwować od pracowników realizację nałożonych na nich obowiązków. System motywacyjny dla członków zespołu projektowego premiujący na zakończenie całego Projektu z sukcesem. Wprowadzenie regularnego raportowania dla kierownictwa projektu, ze wskazywaniem na opóźnienia w realizacji Projektu i jego przyczyny</w:t>
            </w:r>
            <w:r>
              <w:rPr>
                <w:rFonts w:ascii="Arial" w:hAnsi="Arial" w:cs="Arial"/>
                <w:sz w:val="18"/>
                <w:szCs w:val="18"/>
              </w:rPr>
              <w:t>.</w:t>
            </w:r>
          </w:p>
          <w:p w14:paraId="10B7358A" w14:textId="76C046D1" w:rsidR="00FE2B73" w:rsidRDefault="00FE2B73" w:rsidP="00EB7C6F">
            <w:pPr>
              <w:spacing w:before="60" w:after="60"/>
              <w:rPr>
                <w:rFonts w:ascii="Arial" w:hAnsi="Arial" w:cs="Arial"/>
                <w:sz w:val="18"/>
                <w:szCs w:val="18"/>
              </w:rPr>
            </w:pPr>
            <w:r>
              <w:rPr>
                <w:rFonts w:ascii="Arial" w:hAnsi="Arial" w:cs="Arial"/>
                <w:sz w:val="18"/>
                <w:szCs w:val="18"/>
              </w:rPr>
              <w:t>Efektem będzie zapewnienie odpowiednich osób o stosownych uprawnieniach.</w:t>
            </w:r>
          </w:p>
          <w:p w14:paraId="519D3223" w14:textId="29DC34B9"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59EE5296" w14:textId="77777777" w:rsidTr="00EB7C6F">
        <w:tc>
          <w:tcPr>
            <w:tcW w:w="3001" w:type="dxa"/>
          </w:tcPr>
          <w:p w14:paraId="13B18FB2"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Niewystarczająca ilość osób po stronie Zamawiającego do odbioru produktów wykonywanych przez Wykonawców kontraktów – ryzyko zbyt małej ilości osób przeznaczonych do obsługi projektu.</w:t>
            </w:r>
          </w:p>
        </w:tc>
        <w:tc>
          <w:tcPr>
            <w:tcW w:w="1675" w:type="dxa"/>
          </w:tcPr>
          <w:p w14:paraId="1DE2644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112EA023"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44C2211A"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Zaplanowanie ilości osób potrzebnych do realizacji prac związanych z projektem i przekazanie ich obowiązków innym osobom. Przygotowanie listy rezerwowej osób, które mogą być (w razie potrzeby) szybko włączone w realizację projektu. Należy również pamiętać o przygotowaniu odpowiednich stanowisk pracy dla tych osób</w:t>
            </w:r>
            <w:r>
              <w:rPr>
                <w:rFonts w:ascii="Arial" w:hAnsi="Arial" w:cs="Arial"/>
                <w:sz w:val="18"/>
                <w:szCs w:val="18"/>
              </w:rPr>
              <w:t>.</w:t>
            </w:r>
          </w:p>
          <w:p w14:paraId="2E8EF1D7" w14:textId="0A51DA98" w:rsidR="00FE2B73" w:rsidRDefault="00FE2B73" w:rsidP="00EB7C6F">
            <w:pPr>
              <w:spacing w:before="60" w:after="60"/>
              <w:rPr>
                <w:rFonts w:ascii="Arial" w:hAnsi="Arial" w:cs="Arial"/>
                <w:sz w:val="18"/>
                <w:szCs w:val="18"/>
              </w:rPr>
            </w:pPr>
            <w:r>
              <w:rPr>
                <w:rFonts w:ascii="Arial" w:hAnsi="Arial" w:cs="Arial"/>
                <w:sz w:val="18"/>
                <w:szCs w:val="18"/>
              </w:rPr>
              <w:t>Efektem będzie zapewnienie osób o odpowiednich kwalifikacjach.</w:t>
            </w:r>
          </w:p>
          <w:p w14:paraId="667CB9BC" w14:textId="5F2CD5F7"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0BF798E7" w14:textId="77777777" w:rsidTr="00EB7C6F">
        <w:tc>
          <w:tcPr>
            <w:tcW w:w="3001" w:type="dxa"/>
          </w:tcPr>
          <w:p w14:paraId="26E336E9"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Zmiany w przepisach prawa mogą generować konieczność wprowadzenia zmian w wymaganiach / funkcjonalnościach systemu</w:t>
            </w:r>
          </w:p>
        </w:tc>
        <w:tc>
          <w:tcPr>
            <w:tcW w:w="1675" w:type="dxa"/>
          </w:tcPr>
          <w:p w14:paraId="75BE4A21"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202ECAC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3E24FDD8" w14:textId="5ADB6DBC"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Monitorowanie stanu prawnego. Zastosowanie zapisów umownych, zapewniających dostosowanie funkcjonalności systemu do zmian prawnych zachodzących w trakcie realizacji umowy, które mogłyby mieć wpływ na </w:t>
            </w:r>
            <w:r w:rsidRPr="00914174">
              <w:rPr>
                <w:rFonts w:ascii="Arial" w:hAnsi="Arial" w:cs="Arial"/>
                <w:sz w:val="18"/>
                <w:szCs w:val="18"/>
              </w:rPr>
              <w:lastRenderedPageBreak/>
              <w:t>funkcjonalności systemu</w:t>
            </w:r>
            <w:r w:rsidR="00FE2B73">
              <w:rPr>
                <w:rFonts w:ascii="Arial" w:hAnsi="Arial" w:cs="Arial"/>
                <w:sz w:val="18"/>
                <w:szCs w:val="18"/>
              </w:rPr>
              <w:t xml:space="preserve"> (W tym prawo opcji)</w:t>
            </w:r>
            <w:r w:rsidRPr="00914174">
              <w:rPr>
                <w:rFonts w:ascii="Arial" w:hAnsi="Arial" w:cs="Arial"/>
                <w:sz w:val="18"/>
                <w:szCs w:val="18"/>
              </w:rPr>
              <w:t>.</w:t>
            </w:r>
          </w:p>
          <w:p w14:paraId="4969B723" w14:textId="34E84F52" w:rsidR="00FE2B73" w:rsidRDefault="00FE2B73" w:rsidP="00EB7C6F">
            <w:pPr>
              <w:spacing w:before="60" w:after="60"/>
              <w:rPr>
                <w:rFonts w:ascii="Arial" w:hAnsi="Arial" w:cs="Arial"/>
                <w:sz w:val="18"/>
                <w:szCs w:val="18"/>
              </w:rPr>
            </w:pPr>
            <w:r w:rsidRPr="00FE2B73">
              <w:rPr>
                <w:rFonts w:ascii="Arial" w:hAnsi="Arial" w:cs="Arial"/>
                <w:sz w:val="18"/>
                <w:szCs w:val="18"/>
              </w:rPr>
              <w:t>Efektem będzie możliwość zmian w systemie w sposób zapewniający ich wdrożenie bez opóźniania terminu wdrożenia systemu w jego pierwotnej wersji.</w:t>
            </w:r>
          </w:p>
          <w:p w14:paraId="2C2B15FF" w14:textId="546CA7ED"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51024AA6" w14:textId="77777777" w:rsidTr="00EB7C6F">
        <w:tc>
          <w:tcPr>
            <w:tcW w:w="3001" w:type="dxa"/>
          </w:tcPr>
          <w:p w14:paraId="34B19169"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Niewystarczający potencjał i doświadczenie wykonawcy systemu, co może powodować dostarczenie produktów małej jakości</w:t>
            </w:r>
          </w:p>
        </w:tc>
        <w:tc>
          <w:tcPr>
            <w:tcW w:w="1675" w:type="dxa"/>
          </w:tcPr>
          <w:p w14:paraId="1B244B87"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5A724079"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6C205844"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 SIWZ zawarcie kryteriów formalnych na wybór podmiotu odpowiedzialnego za realizację zadania.</w:t>
            </w:r>
            <w:r w:rsidRPr="00914174">
              <w:rPr>
                <w:rFonts w:ascii="Arial" w:hAnsi="Arial" w:cs="Arial"/>
                <w:sz w:val="18"/>
                <w:szCs w:val="18"/>
              </w:rPr>
              <w:br/>
              <w:t>Poza ceną zastosowanie obligatoryjnego kryterium jakościowego w ocenie ofert.</w:t>
            </w:r>
          </w:p>
          <w:p w14:paraId="58D24749" w14:textId="622FA7B5" w:rsidR="00FE2B73" w:rsidRDefault="00FE2B73" w:rsidP="00EB7C6F">
            <w:pPr>
              <w:spacing w:before="60" w:after="60"/>
              <w:rPr>
                <w:rFonts w:ascii="Arial" w:hAnsi="Arial" w:cs="Arial"/>
                <w:sz w:val="18"/>
                <w:szCs w:val="18"/>
              </w:rPr>
            </w:pPr>
            <w:r>
              <w:rPr>
                <w:rFonts w:ascii="Arial" w:hAnsi="Arial" w:cs="Arial"/>
                <w:sz w:val="18"/>
                <w:szCs w:val="18"/>
              </w:rPr>
              <w:t>Efektem jest wybór wykonawcy systemu posiadającego odpowiedni potencjał do właściwego wykonania systemu.</w:t>
            </w:r>
          </w:p>
          <w:p w14:paraId="2FE721A4" w14:textId="2A358A47"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3EBF1B35" w14:textId="77777777" w:rsidTr="00EB7C6F">
        <w:tc>
          <w:tcPr>
            <w:tcW w:w="3001" w:type="dxa"/>
          </w:tcPr>
          <w:p w14:paraId="5FF6936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wystąpienia zdarzeń korupcyjnych</w:t>
            </w:r>
          </w:p>
        </w:tc>
        <w:tc>
          <w:tcPr>
            <w:tcW w:w="1675" w:type="dxa"/>
          </w:tcPr>
          <w:p w14:paraId="1180B83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122911B8"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4C998899"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Wdrożenie polityki działań antykorupcyjnych</w:t>
            </w:r>
            <w:r>
              <w:rPr>
                <w:rFonts w:ascii="Arial" w:hAnsi="Arial" w:cs="Arial"/>
                <w:sz w:val="18"/>
                <w:szCs w:val="18"/>
              </w:rPr>
              <w:t>.</w:t>
            </w:r>
          </w:p>
          <w:p w14:paraId="7151424C" w14:textId="6D5F475D" w:rsidR="00FE2B73" w:rsidRDefault="00FE2B73" w:rsidP="00EB7C6F">
            <w:pPr>
              <w:spacing w:before="60" w:after="60"/>
              <w:rPr>
                <w:rFonts w:ascii="Arial" w:hAnsi="Arial" w:cs="Arial"/>
                <w:sz w:val="18"/>
                <w:szCs w:val="18"/>
              </w:rPr>
            </w:pPr>
            <w:r>
              <w:rPr>
                <w:rFonts w:ascii="Arial" w:hAnsi="Arial" w:cs="Arial"/>
                <w:sz w:val="18"/>
                <w:szCs w:val="18"/>
              </w:rPr>
              <w:t>Efektem będzie ograniczenie możliwości wystąpienia zdarzeń korupcyjnych.</w:t>
            </w:r>
          </w:p>
          <w:p w14:paraId="391A3DBC" w14:textId="5A5478F2"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228138C4" w14:textId="77777777" w:rsidTr="00EB7C6F">
        <w:tc>
          <w:tcPr>
            <w:tcW w:w="3001" w:type="dxa"/>
          </w:tcPr>
          <w:p w14:paraId="1BA794A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Przedłużające się prace nad dokumentacją przetargową skutkujące opóźnieniem w podpisaniu umowy z Wykonawcą Systemu</w:t>
            </w:r>
          </w:p>
        </w:tc>
        <w:tc>
          <w:tcPr>
            <w:tcW w:w="1675" w:type="dxa"/>
          </w:tcPr>
          <w:p w14:paraId="06FD7B6C"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457481A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wysokie</w:t>
            </w:r>
          </w:p>
        </w:tc>
        <w:tc>
          <w:tcPr>
            <w:tcW w:w="2528" w:type="dxa"/>
          </w:tcPr>
          <w:p w14:paraId="219FA078"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Intensywna współpraca Zespołu projektowego z Biurem Logistyki MF</w:t>
            </w:r>
            <w:r>
              <w:rPr>
                <w:rFonts w:ascii="Arial" w:hAnsi="Arial" w:cs="Arial"/>
                <w:sz w:val="18"/>
                <w:szCs w:val="18"/>
              </w:rPr>
              <w:t>.</w:t>
            </w:r>
          </w:p>
          <w:p w14:paraId="11B0C424" w14:textId="186514D0" w:rsidR="00FE2B73" w:rsidRDefault="00FE2B73" w:rsidP="00EB7C6F">
            <w:pPr>
              <w:spacing w:before="60" w:after="60"/>
              <w:rPr>
                <w:rFonts w:ascii="Arial" w:hAnsi="Arial" w:cs="Arial"/>
                <w:sz w:val="18"/>
                <w:szCs w:val="18"/>
              </w:rPr>
            </w:pPr>
            <w:r>
              <w:rPr>
                <w:rFonts w:ascii="Arial" w:hAnsi="Arial" w:cs="Arial"/>
                <w:sz w:val="18"/>
                <w:szCs w:val="18"/>
              </w:rPr>
              <w:t>Efektem jest zakończenie prac nad dokumentacją przetargową w terminie pozwalającym na terminowe wdrożenie systemu.</w:t>
            </w:r>
          </w:p>
          <w:p w14:paraId="03DBCE2D" w14:textId="2F01D589" w:rsidR="00EB7C6F" w:rsidRPr="00914174" w:rsidRDefault="00EB7C6F" w:rsidP="00A90257">
            <w:pPr>
              <w:spacing w:before="60" w:after="60"/>
              <w:rPr>
                <w:rFonts w:ascii="Arial" w:hAnsi="Arial" w:cs="Arial"/>
                <w:sz w:val="18"/>
                <w:szCs w:val="18"/>
              </w:rPr>
            </w:pPr>
            <w:r>
              <w:rPr>
                <w:rFonts w:ascii="Arial" w:hAnsi="Arial" w:cs="Arial"/>
                <w:sz w:val="18"/>
                <w:szCs w:val="18"/>
              </w:rPr>
              <w:t xml:space="preserve">Z uwagi na zakończenie postępowań przetargowych nastąpiła </w:t>
            </w:r>
            <w:r w:rsidRPr="00E82429">
              <w:rPr>
                <w:rFonts w:ascii="Arial" w:hAnsi="Arial" w:cs="Arial"/>
                <w:sz w:val="18"/>
                <w:szCs w:val="18"/>
              </w:rPr>
              <w:t>zmiana w zakresie danego ryzyka w stosunku do poprzedniego okresu sprawozdawczego - „ryzyko zamknięte”</w:t>
            </w:r>
          </w:p>
        </w:tc>
      </w:tr>
      <w:tr w:rsidR="009E5BE5" w:rsidRPr="002B50C0" w14:paraId="54317A75" w14:textId="77777777" w:rsidTr="00EB7C6F">
        <w:tc>
          <w:tcPr>
            <w:tcW w:w="3001" w:type="dxa"/>
          </w:tcPr>
          <w:p w14:paraId="5897363B" w14:textId="25E30BE1" w:rsidR="009E5BE5" w:rsidRPr="00914174" w:rsidRDefault="009E5BE5" w:rsidP="00EB7C6F">
            <w:pPr>
              <w:spacing w:before="60" w:after="60"/>
              <w:rPr>
                <w:rFonts w:ascii="Arial" w:hAnsi="Arial" w:cs="Arial"/>
                <w:sz w:val="18"/>
                <w:szCs w:val="18"/>
              </w:rPr>
            </w:pPr>
            <w:r w:rsidRPr="009E5BE5">
              <w:rPr>
                <w:rFonts w:ascii="Arial" w:hAnsi="Arial" w:cs="Arial"/>
                <w:sz w:val="18"/>
                <w:szCs w:val="18"/>
              </w:rPr>
              <w:t xml:space="preserve"> Ryzyko ograniczenia zasobów ludzki po stronie wykonawcy lub zamawiającego związane z zarażeniem koronawirusem lub grypą.</w:t>
            </w:r>
          </w:p>
        </w:tc>
        <w:tc>
          <w:tcPr>
            <w:tcW w:w="1675" w:type="dxa"/>
          </w:tcPr>
          <w:p w14:paraId="3C0861EE" w14:textId="1291DB5F" w:rsidR="009E5BE5" w:rsidRPr="009E5BE5" w:rsidRDefault="009E5BE5" w:rsidP="00EB7C6F">
            <w:pPr>
              <w:spacing w:before="60" w:after="60"/>
              <w:jc w:val="center"/>
              <w:rPr>
                <w:rFonts w:ascii="Arial" w:hAnsi="Arial" w:cs="Arial"/>
                <w:sz w:val="18"/>
                <w:szCs w:val="18"/>
              </w:rPr>
            </w:pPr>
            <w:r>
              <w:rPr>
                <w:rFonts w:ascii="Arial" w:hAnsi="Arial" w:cs="Arial"/>
                <w:sz w:val="18"/>
                <w:szCs w:val="18"/>
              </w:rPr>
              <w:t>średnia</w:t>
            </w:r>
          </w:p>
        </w:tc>
        <w:tc>
          <w:tcPr>
            <w:tcW w:w="2294" w:type="dxa"/>
          </w:tcPr>
          <w:p w14:paraId="28A1C1E7" w14:textId="7CF48710" w:rsidR="009E5BE5" w:rsidRPr="009E5BE5" w:rsidRDefault="009E5BE5" w:rsidP="00EB7C6F">
            <w:pPr>
              <w:spacing w:before="60" w:after="60"/>
              <w:jc w:val="center"/>
              <w:rPr>
                <w:rFonts w:ascii="Arial" w:hAnsi="Arial" w:cs="Arial"/>
                <w:sz w:val="18"/>
                <w:szCs w:val="18"/>
              </w:rPr>
            </w:pPr>
            <w:r>
              <w:rPr>
                <w:rFonts w:ascii="Arial" w:hAnsi="Arial" w:cs="Arial"/>
                <w:sz w:val="18"/>
                <w:szCs w:val="18"/>
              </w:rPr>
              <w:t>niskie</w:t>
            </w:r>
          </w:p>
        </w:tc>
        <w:tc>
          <w:tcPr>
            <w:tcW w:w="2528" w:type="dxa"/>
          </w:tcPr>
          <w:p w14:paraId="07CD35E6" w14:textId="77777777" w:rsidR="009E5BE5" w:rsidRDefault="009E5BE5" w:rsidP="00EB7C6F">
            <w:pPr>
              <w:spacing w:before="60" w:after="60"/>
              <w:rPr>
                <w:rFonts w:ascii="Arial" w:hAnsi="Arial" w:cs="Arial"/>
                <w:sz w:val="18"/>
                <w:szCs w:val="18"/>
              </w:rPr>
            </w:pPr>
            <w:r w:rsidRPr="009E5BE5">
              <w:rPr>
                <w:rFonts w:ascii="Arial" w:hAnsi="Arial" w:cs="Arial"/>
                <w:sz w:val="18"/>
                <w:szCs w:val="18"/>
              </w:rPr>
              <w:t>Praca zdalna Rozszerzenie Zespołu Wykonawcy i Zespołu Zamawiającego.</w:t>
            </w:r>
          </w:p>
          <w:p w14:paraId="415F3F14" w14:textId="77777777" w:rsidR="00841607" w:rsidRDefault="00841607" w:rsidP="00EB7C6F">
            <w:pPr>
              <w:spacing w:before="60" w:after="60"/>
              <w:rPr>
                <w:rFonts w:ascii="Arial" w:hAnsi="Arial" w:cs="Arial"/>
                <w:sz w:val="18"/>
                <w:szCs w:val="18"/>
              </w:rPr>
            </w:pPr>
            <w:r>
              <w:rPr>
                <w:rFonts w:ascii="Arial" w:hAnsi="Arial" w:cs="Arial"/>
                <w:sz w:val="18"/>
                <w:szCs w:val="18"/>
              </w:rPr>
              <w:t>Efektem będzie zmniejszenie prawdopodobieństwa zarażenia w ramach zespołów oraz lepsza możliwość przejmowania zadań, przez inne zdrowe osoby.</w:t>
            </w:r>
          </w:p>
          <w:p w14:paraId="6098779C" w14:textId="340B0691" w:rsidR="00841607" w:rsidRPr="00914174" w:rsidRDefault="00894756"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bl>
    <w:p w14:paraId="602B0C9F" w14:textId="4516ECAB" w:rsidR="00141A92" w:rsidRDefault="00EB7C6F" w:rsidP="00141A92">
      <w:pPr>
        <w:spacing w:before="240" w:after="120"/>
        <w:rPr>
          <w:rFonts w:ascii="Arial" w:hAnsi="Arial" w:cs="Arial"/>
          <w:b/>
          <w:sz w:val="20"/>
          <w:szCs w:val="20"/>
        </w:rPr>
      </w:pPr>
      <w:r>
        <w:rPr>
          <w:rFonts w:ascii="Arial" w:hAnsi="Arial" w:cs="Arial"/>
          <w:b/>
          <w:sz w:val="20"/>
          <w:szCs w:val="20"/>
        </w:rPr>
        <w:br w:type="textWrapping" w:clear="all"/>
      </w: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lastRenderedPageBreak/>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Ryzyka wpływające na realizację projektu."/>
      </w:tblPr>
      <w:tblGrid>
        <w:gridCol w:w="3261"/>
        <w:gridCol w:w="1701"/>
        <w:gridCol w:w="2125"/>
        <w:gridCol w:w="2693"/>
      </w:tblGrid>
      <w:tr w:rsidR="00EB7C6F" w:rsidRPr="00EB7C6F" w14:paraId="12FEE5E8" w14:textId="77777777" w:rsidTr="008F6625">
        <w:trPr>
          <w:trHeight w:val="724"/>
        </w:trPr>
        <w:tc>
          <w:tcPr>
            <w:tcW w:w="3261" w:type="dxa"/>
            <w:shd w:val="clear" w:color="auto" w:fill="D9D9D9" w:themeFill="background1" w:themeFillShade="D9"/>
            <w:vAlign w:val="center"/>
          </w:tcPr>
          <w:p w14:paraId="7BEBAAAB" w14:textId="77777777" w:rsidR="00EB7C6F" w:rsidRPr="00EB7C6F" w:rsidRDefault="00EB7C6F" w:rsidP="00EB7C6F">
            <w:pPr>
              <w:spacing w:before="60" w:after="60" w:line="240" w:lineRule="auto"/>
              <w:jc w:val="center"/>
              <w:rPr>
                <w:rFonts w:ascii="Arial" w:eastAsia="MS MinNew Roman" w:hAnsi="Arial" w:cs="Arial"/>
                <w:b/>
                <w:bCs/>
                <w:sz w:val="20"/>
                <w:lang w:eastAsia="pl-PL"/>
              </w:rPr>
            </w:pPr>
            <w:r w:rsidRPr="00EB7C6F">
              <w:rPr>
                <w:rFonts w:ascii="Arial" w:eastAsia="MS MinNew Roman" w:hAnsi="Arial" w:cs="Arial"/>
                <w:b/>
                <w:bCs/>
                <w:sz w:val="20"/>
                <w:lang w:eastAsia="pl-PL"/>
              </w:rPr>
              <w:t>Nazwa ryzyka</w:t>
            </w:r>
          </w:p>
        </w:tc>
        <w:tc>
          <w:tcPr>
            <w:tcW w:w="1701" w:type="dxa"/>
            <w:shd w:val="clear" w:color="auto" w:fill="D9D9D9" w:themeFill="background1" w:themeFillShade="D9"/>
            <w:vAlign w:val="center"/>
          </w:tcPr>
          <w:p w14:paraId="1AFF6CF7"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Siła oddziaływania</w:t>
            </w:r>
          </w:p>
        </w:tc>
        <w:tc>
          <w:tcPr>
            <w:tcW w:w="2125" w:type="dxa"/>
            <w:shd w:val="clear" w:color="auto" w:fill="D9D9D9" w:themeFill="background1" w:themeFillShade="D9"/>
          </w:tcPr>
          <w:p w14:paraId="54040989"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kern w:val="1"/>
                <w:sz w:val="20"/>
                <w:szCs w:val="20"/>
              </w:rPr>
            </w:pPr>
            <w:r w:rsidRPr="00EB7C6F">
              <w:rPr>
                <w:rFonts w:ascii="Arial" w:eastAsia="Arial Unicode MS" w:hAnsi="Arial" w:cs="Arial"/>
                <w:b/>
                <w:bCs/>
                <w:kern w:val="1"/>
                <w:sz w:val="20"/>
                <w:szCs w:val="20"/>
              </w:rPr>
              <w:t>Prawdopodobieństwo wystąpienia ryzyka</w:t>
            </w:r>
          </w:p>
        </w:tc>
        <w:tc>
          <w:tcPr>
            <w:tcW w:w="2693" w:type="dxa"/>
            <w:shd w:val="clear" w:color="auto" w:fill="D9D9D9" w:themeFill="background1" w:themeFillShade="D9"/>
            <w:vAlign w:val="center"/>
          </w:tcPr>
          <w:p w14:paraId="39EEA363"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Sposób zarzadzania ryzykiem</w:t>
            </w:r>
          </w:p>
        </w:tc>
      </w:tr>
      <w:tr w:rsidR="00EB7C6F" w:rsidRPr="00EB7C6F" w14:paraId="6E4BF0A8" w14:textId="77777777" w:rsidTr="008F6625">
        <w:trPr>
          <w:trHeight w:val="724"/>
        </w:trPr>
        <w:tc>
          <w:tcPr>
            <w:tcW w:w="3261" w:type="dxa"/>
            <w:shd w:val="clear" w:color="auto" w:fill="auto"/>
          </w:tcPr>
          <w:p w14:paraId="57C6C00F" w14:textId="77777777" w:rsidR="00EB7C6F" w:rsidRPr="00EB7C6F" w:rsidRDefault="00EB7C6F" w:rsidP="00EB7C6F">
            <w:pPr>
              <w:spacing w:before="60" w:after="60" w:line="240" w:lineRule="auto"/>
              <w:jc w:val="both"/>
              <w:rPr>
                <w:rFonts w:ascii="Arial" w:eastAsia="Yu Mincho" w:hAnsi="Arial" w:cs="Arial"/>
                <w:color w:val="0070C0"/>
                <w:sz w:val="18"/>
                <w:szCs w:val="18"/>
                <w:lang w:eastAsia="pl-PL"/>
              </w:rPr>
            </w:pPr>
            <w:r w:rsidRPr="00EB7C6F">
              <w:rPr>
                <w:rFonts w:ascii="Arial" w:eastAsia="Yu Mincho" w:hAnsi="Arial" w:cs="Arial"/>
                <w:sz w:val="18"/>
                <w:szCs w:val="18"/>
                <w:lang w:eastAsia="pl-PL"/>
              </w:rPr>
              <w:t>Ryzyko braku zabezpieczenia środków finansowych na utrzymanie systemu po jego wdrożeniu</w:t>
            </w:r>
          </w:p>
        </w:tc>
        <w:tc>
          <w:tcPr>
            <w:tcW w:w="1701" w:type="dxa"/>
            <w:shd w:val="clear" w:color="auto" w:fill="FFFFFF"/>
          </w:tcPr>
          <w:p w14:paraId="7EC2E3ED"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średnia</w:t>
            </w:r>
          </w:p>
        </w:tc>
        <w:tc>
          <w:tcPr>
            <w:tcW w:w="2125" w:type="dxa"/>
            <w:shd w:val="clear" w:color="auto" w:fill="FFFFFF"/>
          </w:tcPr>
          <w:p w14:paraId="15AEEB31"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znikoma</w:t>
            </w:r>
          </w:p>
        </w:tc>
        <w:tc>
          <w:tcPr>
            <w:tcW w:w="2693" w:type="dxa"/>
            <w:shd w:val="clear" w:color="auto" w:fill="FFFFFF"/>
          </w:tcPr>
          <w:p w14:paraId="72818672"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Analiza kosztów utrzymania systemu i zabezpieczenie odpowiednich środków w budżecie Beneficjenta.</w:t>
            </w:r>
          </w:p>
          <w:p w14:paraId="6E0FC6D6" w14:textId="77777777" w:rsidR="00EB7C6F" w:rsidRPr="00EB7C6F" w:rsidRDefault="00EB7C6F" w:rsidP="00EB7C6F">
            <w:pPr>
              <w:spacing w:before="60" w:after="60" w:line="240" w:lineRule="auto"/>
              <w:jc w:val="both"/>
              <w:rPr>
                <w:rFonts w:ascii="Arial" w:eastAsia="Times New Roman" w:hAnsi="Arial" w:cs="Arial"/>
                <w:b/>
                <w:bCs/>
                <w:color w:val="0070C0"/>
                <w:sz w:val="18"/>
                <w:szCs w:val="18"/>
                <w:lang w:eastAsia="pl-PL"/>
              </w:rPr>
            </w:pPr>
            <w:r w:rsidRPr="00EB7C6F">
              <w:rPr>
                <w:rFonts w:ascii="Arial" w:eastAsia="Yu Mincho" w:hAnsi="Arial" w:cs="Arial"/>
                <w:sz w:val="18"/>
                <w:szCs w:val="18"/>
                <w:lang w:eastAsia="pl-PL"/>
              </w:rPr>
              <w:t>Ocena ryzyka  pozostaje na niezmienionym poziomie</w:t>
            </w:r>
          </w:p>
        </w:tc>
      </w:tr>
      <w:tr w:rsidR="00EB7C6F" w:rsidRPr="00EB7C6F" w14:paraId="3FBDB197" w14:textId="77777777" w:rsidTr="008F6625">
        <w:trPr>
          <w:trHeight w:val="724"/>
        </w:trPr>
        <w:tc>
          <w:tcPr>
            <w:tcW w:w="3261" w:type="dxa"/>
            <w:shd w:val="clear" w:color="auto" w:fill="auto"/>
          </w:tcPr>
          <w:p w14:paraId="725C530A"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Brak wykwalifikowanego zespołu do utrzymania systemu</w:t>
            </w:r>
          </w:p>
        </w:tc>
        <w:tc>
          <w:tcPr>
            <w:tcW w:w="1701" w:type="dxa"/>
            <w:shd w:val="clear" w:color="auto" w:fill="FFFFFF"/>
          </w:tcPr>
          <w:p w14:paraId="5AEAAA21"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shd w:val="clear" w:color="auto" w:fill="FFFFFF"/>
          </w:tcPr>
          <w:p w14:paraId="778DABCC"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małe</w:t>
            </w:r>
          </w:p>
        </w:tc>
        <w:tc>
          <w:tcPr>
            <w:tcW w:w="2693" w:type="dxa"/>
            <w:shd w:val="clear" w:color="auto" w:fill="FFFFFF"/>
          </w:tcPr>
          <w:p w14:paraId="11049BF6" w14:textId="77777777" w:rsidR="00EB7C6F" w:rsidRPr="00EB7C6F" w:rsidRDefault="00EB7C6F" w:rsidP="00EB7C6F">
            <w:pPr>
              <w:widowControl w:val="0"/>
              <w:suppressAutoHyphens/>
              <w:spacing w:before="60" w:after="60" w:line="240" w:lineRule="auto"/>
              <w:rPr>
                <w:rFonts w:ascii="Arial" w:eastAsia="Times New Roman" w:hAnsi="Arial" w:cs="Arial"/>
                <w:sz w:val="18"/>
                <w:szCs w:val="18"/>
                <w:lang w:eastAsia="pl-PL"/>
              </w:rPr>
            </w:pPr>
            <w:r w:rsidRPr="00EB7C6F">
              <w:rPr>
                <w:rFonts w:ascii="Arial" w:eastAsia="Times New Roman" w:hAnsi="Arial" w:cs="Arial"/>
                <w:sz w:val="18"/>
                <w:szCs w:val="18"/>
                <w:lang w:eastAsia="pl-PL"/>
              </w:rPr>
              <w:t>Utrzymanie pracowników poprzez zapewnienie rozwoju zawodowego.</w:t>
            </w:r>
          </w:p>
          <w:p w14:paraId="78DFE0BD" w14:textId="77777777" w:rsidR="00EB7C6F" w:rsidRPr="00EB7C6F" w:rsidRDefault="00EB7C6F" w:rsidP="00EB7C6F">
            <w:pPr>
              <w:spacing w:before="60" w:after="60" w:line="240" w:lineRule="auto"/>
              <w:jc w:val="both"/>
              <w:rPr>
                <w:rFonts w:ascii="Calibri" w:eastAsia="Yu Mincho" w:hAnsi="Calibri" w:cs="Calibri"/>
                <w:lang w:eastAsia="pl-PL"/>
              </w:rPr>
            </w:pPr>
            <w:r w:rsidRPr="00EB7C6F">
              <w:rPr>
                <w:rFonts w:ascii="Arial" w:eastAsia="Yu Mincho" w:hAnsi="Arial" w:cs="Arial"/>
                <w:sz w:val="18"/>
                <w:szCs w:val="18"/>
                <w:lang w:eastAsia="pl-PL"/>
              </w:rPr>
              <w:t>Ocena ryzyka  pozostaje na niezmienionym poziomie</w:t>
            </w:r>
          </w:p>
        </w:tc>
      </w:tr>
      <w:tr w:rsidR="00EB7C6F" w:rsidRPr="00EB7C6F" w14:paraId="7A82736B" w14:textId="77777777" w:rsidTr="008F6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tcPr>
          <w:p w14:paraId="6B52BC4E"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Ryzyko związane z utratą trwałości projektu po zakończeniu okresu obowiązkowej 5-letniej trwałości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00EDCFE"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14:paraId="3540E267"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znikome</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53A5300"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Przygotowanie i wdrożenie skutecznej formuły organizacyjnej i prawnej zapewniającej utrzymanie i zarządzanie systemem w przyjętych ramach budżetowych (i terminie związania umową o dofinansowanie) oraz uzgodnienie stabilnych źródeł utrzymania systemu po upływie okresu trwałości. Zapewnienie środków na eksploatację systemu. Ubezpieczenie środków trwałych w niezbędnym zakresie.</w:t>
            </w:r>
          </w:p>
          <w:p w14:paraId="798EE8B5" w14:textId="77777777" w:rsidR="00EB7C6F" w:rsidRPr="00EB7C6F" w:rsidRDefault="00EB7C6F" w:rsidP="00EB7C6F">
            <w:pPr>
              <w:spacing w:before="60" w:after="60" w:line="240" w:lineRule="auto"/>
              <w:jc w:val="both"/>
              <w:rPr>
                <w:rFonts w:ascii="Arial" w:eastAsia="Times New Roman" w:hAnsi="Arial" w:cs="Arial"/>
                <w:sz w:val="18"/>
                <w:szCs w:val="18"/>
                <w:lang w:eastAsia="pl-PL"/>
              </w:rPr>
            </w:pPr>
            <w:r w:rsidRPr="00EB7C6F">
              <w:rPr>
                <w:rFonts w:ascii="Arial" w:eastAsia="Yu Mincho" w:hAnsi="Arial" w:cs="Arial"/>
                <w:sz w:val="18"/>
                <w:szCs w:val="18"/>
                <w:lang w:eastAsia="pl-PL"/>
              </w:rPr>
              <w:t>Ocena ryzyka  pozostaje na niezmienionym poziomie</w:t>
            </w:r>
            <w:r w:rsidRPr="00894756">
              <w:rPr>
                <w:rFonts w:ascii="Arial" w:eastAsia="Yu Mincho" w:hAnsi="Arial" w:cs="Arial"/>
                <w:sz w:val="18"/>
                <w:szCs w:val="18"/>
                <w:lang w:eastAsia="pl-PL"/>
              </w:rPr>
              <w:t>.</w:t>
            </w:r>
          </w:p>
        </w:tc>
      </w:tr>
    </w:tbl>
    <w:p w14:paraId="18814321" w14:textId="77777777" w:rsidR="00EB7C6F" w:rsidRDefault="00EB7C6F" w:rsidP="00141A92">
      <w:pPr>
        <w:spacing w:before="240" w:after="120"/>
        <w:rPr>
          <w:rFonts w:ascii="Arial" w:hAnsi="Arial" w:cs="Arial"/>
          <w:b/>
          <w:sz w:val="20"/>
          <w:szCs w:val="20"/>
        </w:rPr>
      </w:pPr>
    </w:p>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3FE5242E"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 xml:space="preserve">Nie dotyczy </w:t>
      </w:r>
      <w:r w:rsidR="0000292B">
        <w:rPr>
          <w:rStyle w:val="Nagwek2Znak"/>
          <w:rFonts w:ascii="Arial" w:eastAsiaTheme="minorHAnsi" w:hAnsi="Arial" w:cs="Arial"/>
          <w:color w:val="auto"/>
          <w:sz w:val="22"/>
          <w:szCs w:val="22"/>
        </w:rPr>
        <w:t xml:space="preserve">– </w:t>
      </w:r>
      <w:r w:rsidR="00B0622A" w:rsidRPr="00B0622A">
        <w:rPr>
          <w:rStyle w:val="Nagwek2Znak"/>
          <w:rFonts w:ascii="Arial" w:eastAsiaTheme="minorHAnsi" w:hAnsi="Arial" w:cs="Arial"/>
          <w:color w:val="auto"/>
          <w:sz w:val="22"/>
          <w:szCs w:val="22"/>
        </w:rPr>
        <w:t xml:space="preserve">udzielone zamówienie publiczne na system informatyczny </w:t>
      </w:r>
      <w:r w:rsidR="0004687F">
        <w:rPr>
          <w:rStyle w:val="Nagwek2Znak"/>
          <w:rFonts w:ascii="Arial" w:eastAsiaTheme="minorHAnsi" w:hAnsi="Arial" w:cs="Arial"/>
          <w:color w:val="auto"/>
          <w:sz w:val="22"/>
          <w:szCs w:val="22"/>
        </w:rPr>
        <w:t>w zakresie b</w:t>
      </w:r>
      <w:r w:rsidR="00B0622A">
        <w:rPr>
          <w:rStyle w:val="Nagwek2Znak"/>
          <w:rFonts w:ascii="Arial" w:eastAsiaTheme="minorHAnsi" w:hAnsi="Arial" w:cs="Arial"/>
          <w:color w:val="auto"/>
          <w:sz w:val="22"/>
          <w:szCs w:val="22"/>
        </w:rPr>
        <w:t>ud</w:t>
      </w:r>
      <w:r w:rsidR="0004687F">
        <w:rPr>
          <w:rStyle w:val="Nagwek2Znak"/>
          <w:rFonts w:ascii="Arial" w:eastAsiaTheme="minorHAnsi" w:hAnsi="Arial" w:cs="Arial"/>
          <w:color w:val="auto"/>
          <w:sz w:val="22"/>
          <w:szCs w:val="22"/>
        </w:rPr>
        <w:t xml:space="preserve">owy oprogramowania wynosi </w:t>
      </w:r>
      <w:r w:rsidR="00B0622A">
        <w:rPr>
          <w:rStyle w:val="Nagwek2Znak"/>
          <w:rFonts w:ascii="Arial" w:eastAsiaTheme="minorHAnsi" w:hAnsi="Arial" w:cs="Arial"/>
          <w:color w:val="auto"/>
          <w:sz w:val="22"/>
          <w:szCs w:val="22"/>
        </w:rPr>
        <w:t>4</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750</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875</w:t>
      </w:r>
      <w:r w:rsidR="0004687F" w:rsidRPr="0004687F">
        <w:rPr>
          <w:rStyle w:val="Nagwek2Znak"/>
          <w:rFonts w:ascii="Arial" w:eastAsiaTheme="minorHAnsi" w:hAnsi="Arial" w:cs="Arial"/>
          <w:color w:val="auto"/>
          <w:sz w:val="22"/>
          <w:szCs w:val="22"/>
        </w:rPr>
        <w:t>,</w:t>
      </w:r>
      <w:r w:rsidR="00B0622A">
        <w:rPr>
          <w:rStyle w:val="Nagwek2Znak"/>
          <w:rFonts w:ascii="Arial" w:eastAsiaTheme="minorHAnsi" w:hAnsi="Arial" w:cs="Arial"/>
          <w:color w:val="auto"/>
          <w:sz w:val="22"/>
          <w:szCs w:val="22"/>
        </w:rPr>
        <w:t>00</w:t>
      </w:r>
      <w:r w:rsidR="0004687F">
        <w:rPr>
          <w:rStyle w:val="Nagwek2Znak"/>
          <w:rFonts w:ascii="Arial" w:eastAsiaTheme="minorHAnsi" w:hAnsi="Arial" w:cs="Arial"/>
          <w:color w:val="auto"/>
          <w:sz w:val="22"/>
          <w:szCs w:val="22"/>
        </w:rPr>
        <w:t> zł czyli nie przekracza 10 mln zł.</w:t>
      </w:r>
      <w:r w:rsidR="0004687F" w:rsidRPr="009B6B94">
        <w:rPr>
          <w:rFonts w:ascii="Arial" w:eastAsia="Times New Roman" w:hAnsi="Arial" w:cs="Arial"/>
          <w:color w:val="0070C0"/>
          <w:sz w:val="18"/>
          <w:szCs w:val="18"/>
          <w:lang w:eastAsia="pl-PL"/>
        </w:rPr>
        <w:t xml:space="preserve"> </w:t>
      </w:r>
    </w:p>
    <w:p w14:paraId="19521D92" w14:textId="74A6A374" w:rsidR="00A23E05" w:rsidRPr="00E741CD" w:rsidRDefault="00BB059E" w:rsidP="00EA2F98">
      <w:pPr>
        <w:pStyle w:val="Akapitzlist"/>
        <w:numPr>
          <w:ilvl w:val="0"/>
          <w:numId w:val="19"/>
        </w:numPr>
        <w:spacing w:before="360"/>
        <w:ind w:left="357" w:hanging="357"/>
        <w:contextualSpacing w:val="0"/>
        <w:jc w:val="both"/>
        <w:rPr>
          <w:rFonts w:ascii="Arial" w:hAnsi="Arial" w:cs="Arial"/>
          <w:color w:val="0070C0"/>
        </w:rPr>
      </w:pPr>
      <w:r w:rsidRPr="00141A92">
        <w:rPr>
          <w:rStyle w:val="Nagwek2Znak"/>
          <w:rFonts w:ascii="Arial" w:hAnsi="Arial" w:cs="Arial"/>
          <w:b/>
          <w:color w:val="auto"/>
          <w:sz w:val="24"/>
          <w:szCs w:val="24"/>
        </w:rPr>
        <w:t xml:space="preserve">Dane </w:t>
      </w:r>
      <w:r w:rsidRPr="00EA2F98">
        <w:rPr>
          <w:rStyle w:val="Nagwek2Znak"/>
          <w:rFonts w:ascii="Arial" w:eastAsiaTheme="minorHAnsi" w:hAnsi="Arial" w:cs="Arial"/>
          <w:b/>
          <w:color w:val="auto"/>
          <w:sz w:val="24"/>
          <w:szCs w:val="24"/>
        </w:rPr>
        <w:t>ko</w:t>
      </w:r>
      <w:r w:rsidRPr="0004687F">
        <w:rPr>
          <w:rStyle w:val="Nagwek2Znak"/>
          <w:rFonts w:ascii="Arial" w:eastAsiaTheme="minorHAnsi" w:hAnsi="Arial" w:cs="Arial"/>
          <w:b/>
          <w:color w:val="auto"/>
          <w:sz w:val="24"/>
          <w:szCs w:val="24"/>
        </w:rPr>
        <w:t>ntaktowe</w:t>
      </w:r>
      <w:r w:rsidRPr="00141A92">
        <w:rPr>
          <w:rStyle w:val="Nagwek2Znak"/>
          <w:rFonts w:ascii="Arial" w:hAnsi="Arial" w:cs="Arial"/>
          <w:b/>
          <w:color w:val="auto"/>
          <w:sz w:val="24"/>
          <w:szCs w:val="24"/>
        </w:rPr>
        <w:t>:</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5ACC80B6" w14:textId="38AC91CB" w:rsidR="00A92887" w:rsidRPr="00A92887" w:rsidRDefault="00A92887">
      <w:pPr>
        <w:spacing w:after="0"/>
        <w:jc w:val="both"/>
        <w:rPr>
          <w:rFonts w:ascii="Arial" w:hAnsi="Arial" w:cs="Arial"/>
        </w:rPr>
      </w:pP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D5F68">
              <w:rPr>
                <w:b/>
                <w:bCs/>
                <w:noProof/>
              </w:rPr>
              <w:t>11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B6696F"/>
    <w:multiLevelType w:val="hybridMultilevel"/>
    <w:tmpl w:val="375C1B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8"/>
  </w:num>
  <w:num w:numId="10">
    <w:abstractNumId w:val="5"/>
  </w:num>
  <w:num w:numId="11">
    <w:abstractNumId w:val="6"/>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autoHyphenation/>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292B"/>
    <w:rsid w:val="00003CB0"/>
    <w:rsid w:val="00006E59"/>
    <w:rsid w:val="00014058"/>
    <w:rsid w:val="00014699"/>
    <w:rsid w:val="00043DD9"/>
    <w:rsid w:val="00044D68"/>
    <w:rsid w:val="0004687F"/>
    <w:rsid w:val="00047D9D"/>
    <w:rsid w:val="00055B7B"/>
    <w:rsid w:val="0006403E"/>
    <w:rsid w:val="000657C9"/>
    <w:rsid w:val="00070663"/>
    <w:rsid w:val="00071880"/>
    <w:rsid w:val="00081E69"/>
    <w:rsid w:val="00084E5B"/>
    <w:rsid w:val="00087231"/>
    <w:rsid w:val="00095944"/>
    <w:rsid w:val="000A1DFB"/>
    <w:rsid w:val="000A2F32"/>
    <w:rsid w:val="000A3938"/>
    <w:rsid w:val="000B3E49"/>
    <w:rsid w:val="000D5F68"/>
    <w:rsid w:val="000E0060"/>
    <w:rsid w:val="000E1828"/>
    <w:rsid w:val="000E4BF8"/>
    <w:rsid w:val="000E4F9F"/>
    <w:rsid w:val="000F20A9"/>
    <w:rsid w:val="000F307B"/>
    <w:rsid w:val="000F30B9"/>
    <w:rsid w:val="0011693F"/>
    <w:rsid w:val="00122388"/>
    <w:rsid w:val="00124C3D"/>
    <w:rsid w:val="00130B38"/>
    <w:rsid w:val="00141A92"/>
    <w:rsid w:val="00145E84"/>
    <w:rsid w:val="0015102C"/>
    <w:rsid w:val="00153381"/>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138"/>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1397C"/>
    <w:rsid w:val="003221F2"/>
    <w:rsid w:val="00322614"/>
    <w:rsid w:val="00323EE4"/>
    <w:rsid w:val="00334A24"/>
    <w:rsid w:val="003410FE"/>
    <w:rsid w:val="003508E7"/>
    <w:rsid w:val="003542F1"/>
    <w:rsid w:val="00356A3E"/>
    <w:rsid w:val="003642B8"/>
    <w:rsid w:val="003A4115"/>
    <w:rsid w:val="003B5B7A"/>
    <w:rsid w:val="003C7325"/>
    <w:rsid w:val="003D736C"/>
    <w:rsid w:val="003D7DD0"/>
    <w:rsid w:val="003E3144"/>
    <w:rsid w:val="00400A58"/>
    <w:rsid w:val="00405EA4"/>
    <w:rsid w:val="0041034F"/>
    <w:rsid w:val="004118A3"/>
    <w:rsid w:val="00423A26"/>
    <w:rsid w:val="00425046"/>
    <w:rsid w:val="004350B8"/>
    <w:rsid w:val="00444AAB"/>
    <w:rsid w:val="00450089"/>
    <w:rsid w:val="004729D1"/>
    <w:rsid w:val="00480F7B"/>
    <w:rsid w:val="00490C24"/>
    <w:rsid w:val="004C1D48"/>
    <w:rsid w:val="004D65CA"/>
    <w:rsid w:val="004E2910"/>
    <w:rsid w:val="004F6E89"/>
    <w:rsid w:val="005076A1"/>
    <w:rsid w:val="00513213"/>
    <w:rsid w:val="00517F12"/>
    <w:rsid w:val="0052102C"/>
    <w:rsid w:val="005212C8"/>
    <w:rsid w:val="00524E6C"/>
    <w:rsid w:val="005332D6"/>
    <w:rsid w:val="0054384F"/>
    <w:rsid w:val="00544DFE"/>
    <w:rsid w:val="005548F2"/>
    <w:rsid w:val="005734CE"/>
    <w:rsid w:val="00583372"/>
    <w:rsid w:val="005840AB"/>
    <w:rsid w:val="00586664"/>
    <w:rsid w:val="00593290"/>
    <w:rsid w:val="005A0E33"/>
    <w:rsid w:val="005A12F7"/>
    <w:rsid w:val="005A1B30"/>
    <w:rsid w:val="005B1A32"/>
    <w:rsid w:val="005C0469"/>
    <w:rsid w:val="005C4C56"/>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5E75"/>
    <w:rsid w:val="00647B96"/>
    <w:rsid w:val="00647E09"/>
    <w:rsid w:val="00661A62"/>
    <w:rsid w:val="00663945"/>
    <w:rsid w:val="006731D9"/>
    <w:rsid w:val="006822BC"/>
    <w:rsid w:val="006948D3"/>
    <w:rsid w:val="006A60AA"/>
    <w:rsid w:val="006B034F"/>
    <w:rsid w:val="006B1380"/>
    <w:rsid w:val="006B393F"/>
    <w:rsid w:val="006B5117"/>
    <w:rsid w:val="006C78AE"/>
    <w:rsid w:val="006E04D9"/>
    <w:rsid w:val="006E0CFA"/>
    <w:rsid w:val="006E6205"/>
    <w:rsid w:val="00701800"/>
    <w:rsid w:val="00723736"/>
    <w:rsid w:val="00725708"/>
    <w:rsid w:val="00740A47"/>
    <w:rsid w:val="00746ABD"/>
    <w:rsid w:val="00747E6D"/>
    <w:rsid w:val="00764D51"/>
    <w:rsid w:val="0077418F"/>
    <w:rsid w:val="00775C44"/>
    <w:rsid w:val="00776802"/>
    <w:rsid w:val="00784C2A"/>
    <w:rsid w:val="007924CE"/>
    <w:rsid w:val="00795AFA"/>
    <w:rsid w:val="007A3481"/>
    <w:rsid w:val="007A4742"/>
    <w:rsid w:val="007B0251"/>
    <w:rsid w:val="007C2F7E"/>
    <w:rsid w:val="007C6235"/>
    <w:rsid w:val="007C70D1"/>
    <w:rsid w:val="007D1990"/>
    <w:rsid w:val="007D2C34"/>
    <w:rsid w:val="007D38BD"/>
    <w:rsid w:val="007D3F21"/>
    <w:rsid w:val="007D538E"/>
    <w:rsid w:val="007E1072"/>
    <w:rsid w:val="007E341A"/>
    <w:rsid w:val="007F126F"/>
    <w:rsid w:val="00803FBE"/>
    <w:rsid w:val="00805178"/>
    <w:rsid w:val="00806134"/>
    <w:rsid w:val="00813357"/>
    <w:rsid w:val="00830B70"/>
    <w:rsid w:val="00840749"/>
    <w:rsid w:val="00841607"/>
    <w:rsid w:val="0085335E"/>
    <w:rsid w:val="00865BD6"/>
    <w:rsid w:val="00866716"/>
    <w:rsid w:val="00871CA7"/>
    <w:rsid w:val="00872A17"/>
    <w:rsid w:val="0087452F"/>
    <w:rsid w:val="00875528"/>
    <w:rsid w:val="0087770F"/>
    <w:rsid w:val="00884686"/>
    <w:rsid w:val="00894756"/>
    <w:rsid w:val="008A332F"/>
    <w:rsid w:val="008A52F6"/>
    <w:rsid w:val="008B4D9F"/>
    <w:rsid w:val="008B7FC1"/>
    <w:rsid w:val="008C4BCD"/>
    <w:rsid w:val="008C6721"/>
    <w:rsid w:val="008D1719"/>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67238"/>
    <w:rsid w:val="00971A40"/>
    <w:rsid w:val="00976434"/>
    <w:rsid w:val="00983E13"/>
    <w:rsid w:val="00992EA3"/>
    <w:rsid w:val="009967CA"/>
    <w:rsid w:val="009A17FF"/>
    <w:rsid w:val="009A7603"/>
    <w:rsid w:val="009B4423"/>
    <w:rsid w:val="009C6140"/>
    <w:rsid w:val="009D2FA4"/>
    <w:rsid w:val="009D7D8A"/>
    <w:rsid w:val="009E4C67"/>
    <w:rsid w:val="009E5BE5"/>
    <w:rsid w:val="009F09BF"/>
    <w:rsid w:val="009F1DC8"/>
    <w:rsid w:val="009F437E"/>
    <w:rsid w:val="00A11788"/>
    <w:rsid w:val="00A23E05"/>
    <w:rsid w:val="00A30847"/>
    <w:rsid w:val="00A36AE2"/>
    <w:rsid w:val="00A43E49"/>
    <w:rsid w:val="00A44EA2"/>
    <w:rsid w:val="00A51E96"/>
    <w:rsid w:val="00A56D63"/>
    <w:rsid w:val="00A62DDB"/>
    <w:rsid w:val="00A67685"/>
    <w:rsid w:val="00A728AE"/>
    <w:rsid w:val="00A804AE"/>
    <w:rsid w:val="00A86449"/>
    <w:rsid w:val="00A87C1C"/>
    <w:rsid w:val="00A90257"/>
    <w:rsid w:val="00A92887"/>
    <w:rsid w:val="00AA4CAB"/>
    <w:rsid w:val="00AA51AD"/>
    <w:rsid w:val="00AA730D"/>
    <w:rsid w:val="00AB2E01"/>
    <w:rsid w:val="00AB5EB2"/>
    <w:rsid w:val="00AC000C"/>
    <w:rsid w:val="00AC7E26"/>
    <w:rsid w:val="00AD45BB"/>
    <w:rsid w:val="00AE1643"/>
    <w:rsid w:val="00AE3A6C"/>
    <w:rsid w:val="00AE5F0C"/>
    <w:rsid w:val="00AF09B8"/>
    <w:rsid w:val="00AF567D"/>
    <w:rsid w:val="00B0622A"/>
    <w:rsid w:val="00B11368"/>
    <w:rsid w:val="00B17709"/>
    <w:rsid w:val="00B23828"/>
    <w:rsid w:val="00B41415"/>
    <w:rsid w:val="00B440C3"/>
    <w:rsid w:val="00B46B7D"/>
    <w:rsid w:val="00B50560"/>
    <w:rsid w:val="00B64B3C"/>
    <w:rsid w:val="00B673C6"/>
    <w:rsid w:val="00B74859"/>
    <w:rsid w:val="00B8735C"/>
    <w:rsid w:val="00B87D3D"/>
    <w:rsid w:val="00B91243"/>
    <w:rsid w:val="00BA0B57"/>
    <w:rsid w:val="00BA481C"/>
    <w:rsid w:val="00BB059E"/>
    <w:rsid w:val="00BB2420"/>
    <w:rsid w:val="00BB3A73"/>
    <w:rsid w:val="00BB49AC"/>
    <w:rsid w:val="00BB5ACE"/>
    <w:rsid w:val="00BC10B5"/>
    <w:rsid w:val="00BC1BD2"/>
    <w:rsid w:val="00BC6BE4"/>
    <w:rsid w:val="00BE47CD"/>
    <w:rsid w:val="00BE5BF9"/>
    <w:rsid w:val="00C01763"/>
    <w:rsid w:val="00C1106C"/>
    <w:rsid w:val="00C26361"/>
    <w:rsid w:val="00C302F1"/>
    <w:rsid w:val="00C3575F"/>
    <w:rsid w:val="00C42AEA"/>
    <w:rsid w:val="00C57985"/>
    <w:rsid w:val="00C6751B"/>
    <w:rsid w:val="00CA08C3"/>
    <w:rsid w:val="00CA516B"/>
    <w:rsid w:val="00CB7C39"/>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0E63"/>
    <w:rsid w:val="00DB69FD"/>
    <w:rsid w:val="00DC0A8A"/>
    <w:rsid w:val="00DC1705"/>
    <w:rsid w:val="00DC39A9"/>
    <w:rsid w:val="00DC4C79"/>
    <w:rsid w:val="00DE6249"/>
    <w:rsid w:val="00DE731D"/>
    <w:rsid w:val="00E0076D"/>
    <w:rsid w:val="00E06A75"/>
    <w:rsid w:val="00E11B44"/>
    <w:rsid w:val="00E136FC"/>
    <w:rsid w:val="00E15DEB"/>
    <w:rsid w:val="00E1688D"/>
    <w:rsid w:val="00E203EB"/>
    <w:rsid w:val="00E22CE7"/>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A2F98"/>
    <w:rsid w:val="00EA669F"/>
    <w:rsid w:val="00EB62F2"/>
    <w:rsid w:val="00EB7C6F"/>
    <w:rsid w:val="00EC2AFC"/>
    <w:rsid w:val="00EF6A35"/>
    <w:rsid w:val="00F01E80"/>
    <w:rsid w:val="00F138F7"/>
    <w:rsid w:val="00F2008A"/>
    <w:rsid w:val="00F21D9E"/>
    <w:rsid w:val="00F25348"/>
    <w:rsid w:val="00F309CC"/>
    <w:rsid w:val="00F45506"/>
    <w:rsid w:val="00F60062"/>
    <w:rsid w:val="00F613CC"/>
    <w:rsid w:val="00F76777"/>
    <w:rsid w:val="00F83F2F"/>
    <w:rsid w:val="00F86555"/>
    <w:rsid w:val="00F86C58"/>
    <w:rsid w:val="00FA76BF"/>
    <w:rsid w:val="00FB3ED5"/>
    <w:rsid w:val="00FC3B03"/>
    <w:rsid w:val="00FD06DD"/>
    <w:rsid w:val="00FD4EC7"/>
    <w:rsid w:val="00FE2B7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 w:type="paragraph" w:customStyle="1" w:styleId="Default">
    <w:name w:val="Default"/>
    <w:rsid w:val="00F01E8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659774652">
      <w:bodyDiv w:val="1"/>
      <w:marLeft w:val="0"/>
      <w:marRight w:val="0"/>
      <w:marTop w:val="0"/>
      <w:marBottom w:val="0"/>
      <w:divBdr>
        <w:top w:val="none" w:sz="0" w:space="0" w:color="auto"/>
        <w:left w:val="none" w:sz="0" w:space="0" w:color="auto"/>
        <w:bottom w:val="none" w:sz="0" w:space="0" w:color="auto"/>
        <w:right w:val="none" w:sz="0" w:space="0" w:color="auto"/>
      </w:divBdr>
    </w:div>
    <w:div w:id="1102144775">
      <w:bodyDiv w:val="1"/>
      <w:marLeft w:val="0"/>
      <w:marRight w:val="0"/>
      <w:marTop w:val="0"/>
      <w:marBottom w:val="0"/>
      <w:divBdr>
        <w:top w:val="none" w:sz="0" w:space="0" w:color="auto"/>
        <w:left w:val="none" w:sz="0" w:space="0" w:color="auto"/>
        <w:bottom w:val="none" w:sz="0" w:space="0" w:color="auto"/>
        <w:right w:val="none" w:sz="0" w:space="0" w:color="auto"/>
      </w:divBdr>
    </w:div>
    <w:div w:id="166731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64C14-2968-4C14-AFCB-90E7D0000E5B}">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3.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446DA7C-6F5A-4BEF-8AF5-C2F92B97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2898</Words>
  <Characters>17392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2021-03-02T10:06:00Z</dcterms:created>
  <dcterms:modified xsi:type="dcterms:W3CDTF">2021-03-02T10:17:00Z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